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33A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both"/>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附件2</w:t>
      </w:r>
    </w:p>
    <w:p w14:paraId="35D76C60">
      <w:pPr>
        <w:pStyle w:val="8"/>
        <w:spacing w:line="360" w:lineRule="auto"/>
        <w:ind w:left="0"/>
        <w:rPr>
          <w:rFonts w:hint="eastAsia" w:eastAsia="仿宋_GB2312"/>
          <w:sz w:val="32"/>
          <w:szCs w:val="32"/>
        </w:rPr>
      </w:pPr>
      <w:r>
        <w:rPr>
          <w:rFonts w:hint="eastAsia" w:eastAsia="仿宋_GB2312"/>
          <w:sz w:val="32"/>
          <w:szCs w:val="32"/>
        </w:rPr>
        <w:pict>
          <v:shape id="_x0000_s1026" o:spid="_x0000_s1026" o:spt="136" type="#_x0000_t136" style="position:absolute;left:0pt;margin-left:16.8pt;margin-top:24.95pt;height:63.9pt;width:412.55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织金县 农 业 农 村 局" style="font-family:方正小标宋简体;font-size:36pt;v-rotate-letters:f;v-same-letter-heights:f;v-text-align:center;"/>
          </v:shape>
        </w:pict>
      </w:r>
    </w:p>
    <w:p w14:paraId="05BB3EBA">
      <w:pPr>
        <w:pStyle w:val="8"/>
        <w:spacing w:line="360" w:lineRule="auto"/>
        <w:ind w:left="0"/>
        <w:rPr>
          <w:rFonts w:hint="eastAsia" w:eastAsia="仿宋_GB2312"/>
          <w:sz w:val="32"/>
          <w:szCs w:val="32"/>
        </w:rPr>
      </w:pPr>
    </w:p>
    <w:p w14:paraId="02B6E8E5">
      <w:pPr>
        <w:pStyle w:val="8"/>
        <w:spacing w:line="360" w:lineRule="auto"/>
        <w:ind w:left="0"/>
        <w:rPr>
          <w:rFonts w:hint="eastAsia" w:eastAsia="仿宋_GB2312"/>
          <w:sz w:val="32"/>
          <w:szCs w:val="32"/>
        </w:rPr>
      </w:pPr>
    </w:p>
    <w:p w14:paraId="3C558C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简体" w:eastAsia="方正小标宋简体"/>
          <w:sz w:val="40"/>
          <w:szCs w:val="40"/>
        </w:rPr>
      </w:pPr>
    </w:p>
    <w:p w14:paraId="4864A5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eastAsia="方正小标宋简体"/>
          <w:sz w:val="40"/>
          <w:szCs w:val="40"/>
        </w:rPr>
      </w:pPr>
      <w:r>
        <w:rPr>
          <w:rFonts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22225</wp:posOffset>
                </wp:positionH>
                <wp:positionV relativeFrom="paragraph">
                  <wp:posOffset>71755</wp:posOffset>
                </wp:positionV>
                <wp:extent cx="5616575" cy="635"/>
                <wp:effectExtent l="0" t="28575" r="3175" b="46990"/>
                <wp:wrapNone/>
                <wp:docPr id="2" name="直接连接符 2"/>
                <wp:cNvGraphicFramePr/>
                <a:graphic xmlns:a="http://schemas.openxmlformats.org/drawingml/2006/main">
                  <a:graphicData uri="http://schemas.microsoft.com/office/word/2010/wordprocessingShape">
                    <wps:wsp>
                      <wps:cNvSpPr/>
                      <wps:spPr>
                        <a:xfrm>
                          <a:off x="0" y="0"/>
                          <a:ext cx="5616575" cy="635"/>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75pt;margin-top:5.65pt;height:0.05pt;width:442.25pt;z-index:251659264;mso-width-relative:page;mso-height-relative:page;" filled="f" stroked="t" coordsize="21600,21600" o:gfxdata="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JCW4zSAAAABwEAAA8AAAAAAAAAAQAgAAAAIgAAAGRycy9kb3ducmV2LnhtbFBL&#10;AQIUABQAAAAIAIdO4kCRvCiY/AEAAO0DAAAOAAAAAAAAAAEAIAAAACEBAABkcnMvZTJvRG9jLnht&#10;bFBLBQYAAAAABgAGAFkBAACPBQAAAAA=&#10;">
                <v:path arrowok="t"/>
                <v:fill on="f" focussize="0,0"/>
                <v:stroke weight="4.5pt" color="#FF0000" linestyle="thickThin"/>
                <v:imagedata o:title=""/>
                <o:lock v:ext="edit" aspectratio="f"/>
              </v:line>
            </w:pict>
          </mc:Fallback>
        </mc:AlternateContent>
      </w:r>
    </w:p>
    <w:p w14:paraId="426B62F6">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700" w:lineRule="exact"/>
        <w:ind w:left="0" w:right="0" w:firstLine="0"/>
        <w:jc w:val="center"/>
        <w:textAlignment w:val="auto"/>
        <w:rPr>
          <w:rFonts w:hint="default" w:ascii="Calibri" w:hAnsi="Calibri" w:cs="Calibri"/>
          <w:i w:val="0"/>
          <w:iCs w:val="0"/>
          <w:caps w:val="0"/>
          <w:color w:val="000000"/>
          <w:spacing w:val="0"/>
          <w:sz w:val="40"/>
          <w:szCs w:val="40"/>
        </w:rPr>
      </w:pPr>
      <w:r>
        <w:rPr>
          <w:rFonts w:hint="eastAsia" w:ascii="方正小标宋简体" w:hAnsi="方正小标宋简体" w:eastAsia="方正小标宋简体" w:cs="方正小标宋简体"/>
          <w:i w:val="0"/>
          <w:iCs w:val="0"/>
          <w:caps w:val="0"/>
          <w:color w:val="000000"/>
          <w:spacing w:val="0"/>
          <w:sz w:val="40"/>
          <w:szCs w:val="40"/>
          <w:lang w:val="en-US" w:eastAsia="zh-CN"/>
        </w:rPr>
        <w:t>织金县2025年</w:t>
      </w:r>
      <w:r>
        <w:rPr>
          <w:rFonts w:ascii="方正小标宋简体" w:hAnsi="方正小标宋简体" w:eastAsia="方正小标宋简体" w:cs="方正小标宋简体"/>
          <w:i w:val="0"/>
          <w:iCs w:val="0"/>
          <w:caps w:val="0"/>
          <w:color w:val="000000"/>
          <w:spacing w:val="0"/>
          <w:sz w:val="40"/>
          <w:szCs w:val="40"/>
        </w:rPr>
        <w:t>特聘农技员考核管理办法</w:t>
      </w:r>
    </w:p>
    <w:p w14:paraId="495C0383">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bookmarkStart w:id="0" w:name="_GoBack"/>
      <w:bookmarkEnd w:id="0"/>
    </w:p>
    <w:p w14:paraId="555E7994">
      <w:pPr>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 xml:space="preserve">第一条 </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为加强对我</w:t>
      </w:r>
      <w:r>
        <w:rPr>
          <w:rFonts w:hint="eastAsia" w:ascii="Times New Roman" w:hAnsi="Times New Roman" w:eastAsia="仿宋_GB2312" w:cs="Times New Roman"/>
          <w:i w:val="0"/>
          <w:iCs w:val="0"/>
          <w:caps w:val="0"/>
          <w:color w:val="000000"/>
          <w:spacing w:val="0"/>
          <w:sz w:val="32"/>
          <w:szCs w:val="32"/>
          <w:lang w:eastAsia="zh-CN"/>
        </w:rPr>
        <w:t>县</w:t>
      </w:r>
      <w:r>
        <w:rPr>
          <w:rFonts w:hint="eastAsia" w:ascii="Times New Roman" w:hAnsi="Times New Roman" w:eastAsia="仿宋_GB2312" w:cs="Times New Roman"/>
          <w:i w:val="0"/>
          <w:iCs w:val="0"/>
          <w:caps w:val="0"/>
          <w:color w:val="000000"/>
          <w:spacing w:val="0"/>
          <w:sz w:val="32"/>
          <w:szCs w:val="32"/>
          <w:lang w:val="en-US" w:eastAsia="zh-CN"/>
        </w:rPr>
        <w:t>2025年</w:t>
      </w:r>
      <w:r>
        <w:rPr>
          <w:rFonts w:hint="default" w:ascii="Times New Roman" w:hAnsi="Times New Roman" w:eastAsia="仿宋_GB2312" w:cs="Times New Roman"/>
          <w:i w:val="0"/>
          <w:iCs w:val="0"/>
          <w:caps w:val="0"/>
          <w:color w:val="000000"/>
          <w:spacing w:val="0"/>
          <w:sz w:val="32"/>
          <w:szCs w:val="32"/>
        </w:rPr>
        <w:t>特聘农技员服务期聘用管理和绩效评价，</w:t>
      </w:r>
      <w:r>
        <w:rPr>
          <w:rFonts w:hint="eastAsia" w:ascii="仿宋_GB2312" w:hAnsi="仿宋_GB2312" w:eastAsia="仿宋_GB2312" w:cs="仿宋_GB2312"/>
          <w:i w:val="0"/>
          <w:iCs w:val="0"/>
          <w:caps w:val="0"/>
          <w:color w:val="000000"/>
          <w:spacing w:val="0"/>
          <w:kern w:val="0"/>
          <w:sz w:val="32"/>
          <w:szCs w:val="32"/>
          <w:lang w:val="en-US" w:eastAsia="zh-CN" w:bidi="ar"/>
        </w:rPr>
        <w:t>根据《省农业农村厅办公室关于印发2025年度贵州省基层农业技术推广体系改革与建设补助项目实施方案的通知》（黔农办发（2025）7号）精神及织金县农业农村局关于《织金县2025年度基层农技推广体系改革与建设补助项目实施案》的请示（</w:t>
      </w:r>
      <w:r>
        <w:rPr>
          <w:rFonts w:hint="default" w:ascii="Times New Roman" w:hAnsi="Times New Roman" w:eastAsia="仿宋_GB2312" w:cs="Times New Roman"/>
          <w:color w:val="auto"/>
          <w:sz w:val="32"/>
          <w:szCs w:val="32"/>
          <w:lang w:eastAsia="zh-CN"/>
        </w:rPr>
        <w:t>织</w:t>
      </w:r>
      <w:r>
        <w:rPr>
          <w:rFonts w:hint="default" w:ascii="Times New Roman" w:hAnsi="Times New Roman" w:eastAsia="仿宋_GB2312" w:cs="Times New Roman"/>
          <w:color w:val="auto"/>
          <w:sz w:val="32"/>
          <w:szCs w:val="32"/>
        </w:rPr>
        <w:t>农呈〔20</w:t>
      </w: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rPr>
        <w:t>号</w:t>
      </w:r>
      <w:r>
        <w:rPr>
          <w:rFonts w:hint="eastAsia" w:ascii="仿宋_GB2312" w:hAnsi="仿宋_GB2312" w:eastAsia="仿宋_GB2312" w:cs="仿宋_GB2312"/>
          <w:i w:val="0"/>
          <w:iCs w:val="0"/>
          <w:caps w:val="0"/>
          <w:color w:val="000000"/>
          <w:spacing w:val="0"/>
          <w:kern w:val="0"/>
          <w:sz w:val="32"/>
          <w:szCs w:val="32"/>
          <w:lang w:val="en-US" w:eastAsia="zh-CN" w:bidi="ar"/>
        </w:rPr>
        <w:t>），</w:t>
      </w:r>
      <w:r>
        <w:rPr>
          <w:rFonts w:hint="default" w:ascii="仿宋_GB2312" w:hAnsi="仿宋_GB2312" w:eastAsia="仿宋_GB2312" w:cs="仿宋_GB2312"/>
          <w:i w:val="0"/>
          <w:iCs w:val="0"/>
          <w:caps w:val="0"/>
          <w:color w:val="000000"/>
          <w:spacing w:val="0"/>
          <w:kern w:val="0"/>
          <w:sz w:val="32"/>
          <w:szCs w:val="32"/>
          <w:lang w:val="en-US" w:eastAsia="zh-CN" w:bidi="ar"/>
        </w:rPr>
        <w:t>结合我</w:t>
      </w:r>
      <w:r>
        <w:rPr>
          <w:rFonts w:hint="eastAsia" w:ascii="仿宋_GB2312" w:hAnsi="仿宋_GB2312" w:eastAsia="仿宋_GB2312" w:cs="仿宋_GB2312"/>
          <w:i w:val="0"/>
          <w:iCs w:val="0"/>
          <w:caps w:val="0"/>
          <w:color w:val="000000"/>
          <w:spacing w:val="0"/>
          <w:kern w:val="0"/>
          <w:sz w:val="32"/>
          <w:szCs w:val="32"/>
          <w:lang w:val="en-US" w:eastAsia="zh-CN" w:bidi="ar"/>
        </w:rPr>
        <w:t>县</w:t>
      </w:r>
      <w:r>
        <w:rPr>
          <w:rFonts w:hint="default" w:ascii="仿宋_GB2312" w:hAnsi="仿宋_GB2312" w:eastAsia="仿宋_GB2312" w:cs="仿宋_GB2312"/>
          <w:i w:val="0"/>
          <w:iCs w:val="0"/>
          <w:caps w:val="0"/>
          <w:color w:val="000000"/>
          <w:spacing w:val="0"/>
          <w:kern w:val="0"/>
          <w:sz w:val="32"/>
          <w:szCs w:val="32"/>
          <w:lang w:val="en-US" w:eastAsia="zh-CN" w:bidi="ar"/>
        </w:rPr>
        <w:t>实际，制</w:t>
      </w:r>
      <w:r>
        <w:rPr>
          <w:rFonts w:hint="default" w:ascii="Times New Roman" w:hAnsi="Times New Roman" w:eastAsia="仿宋_GB2312" w:cs="Times New Roman"/>
          <w:i w:val="0"/>
          <w:iCs w:val="0"/>
          <w:caps w:val="0"/>
          <w:color w:val="000000"/>
          <w:spacing w:val="0"/>
          <w:sz w:val="32"/>
          <w:szCs w:val="32"/>
        </w:rPr>
        <w:t>定本办法。</w:t>
      </w:r>
    </w:p>
    <w:p w14:paraId="19E508CC">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第二条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本办法适用于经</w:t>
      </w:r>
      <w:r>
        <w:rPr>
          <w:rFonts w:hint="eastAsia" w:ascii="Times New Roman" w:hAnsi="Times New Roman" w:eastAsia="仿宋_GB2312" w:cs="Times New Roman"/>
          <w:i w:val="0"/>
          <w:iCs w:val="0"/>
          <w:caps w:val="0"/>
          <w:color w:val="000000"/>
          <w:spacing w:val="0"/>
          <w:sz w:val="32"/>
          <w:szCs w:val="32"/>
          <w:lang w:val="en-US" w:eastAsia="zh-CN"/>
        </w:rPr>
        <w:t>2025年</w:t>
      </w:r>
      <w:r>
        <w:rPr>
          <w:rFonts w:hint="eastAsia" w:ascii="Times New Roman" w:hAnsi="Times New Roman" w:eastAsia="仿宋_GB2312" w:cs="Times New Roman"/>
          <w:i w:val="0"/>
          <w:iCs w:val="0"/>
          <w:caps w:val="0"/>
          <w:color w:val="000000"/>
          <w:spacing w:val="0"/>
          <w:sz w:val="32"/>
          <w:szCs w:val="32"/>
          <w:lang w:eastAsia="zh-CN"/>
        </w:rPr>
        <w:t>织金县</w:t>
      </w:r>
      <w:r>
        <w:rPr>
          <w:rFonts w:hint="default" w:ascii="Times New Roman" w:hAnsi="Times New Roman" w:eastAsia="仿宋_GB2312" w:cs="Times New Roman"/>
          <w:i w:val="0"/>
          <w:iCs w:val="0"/>
          <w:caps w:val="0"/>
          <w:color w:val="000000"/>
          <w:spacing w:val="0"/>
          <w:sz w:val="32"/>
          <w:szCs w:val="32"/>
        </w:rPr>
        <w:t>农业农村局公开招募</w:t>
      </w:r>
      <w:r>
        <w:rPr>
          <w:rFonts w:hint="default" w:ascii="Times New Roman" w:hAnsi="Times New Roman" w:eastAsia="仿宋_GB2312" w:cs="Times New Roman"/>
          <w:i w:val="0"/>
          <w:iCs w:val="0"/>
          <w:caps w:val="0"/>
          <w:color w:val="000000"/>
          <w:spacing w:val="0"/>
          <w:sz w:val="32"/>
          <w:szCs w:val="32"/>
          <w:lang w:eastAsia="zh-CN"/>
        </w:rPr>
        <w:t>的</w:t>
      </w:r>
      <w:r>
        <w:rPr>
          <w:rFonts w:hint="default" w:ascii="Times New Roman" w:hAnsi="Times New Roman" w:eastAsia="仿宋_GB2312" w:cs="Times New Roman"/>
          <w:i w:val="0"/>
          <w:iCs w:val="0"/>
          <w:caps w:val="0"/>
          <w:color w:val="000000"/>
          <w:spacing w:val="0"/>
          <w:sz w:val="32"/>
          <w:szCs w:val="32"/>
        </w:rPr>
        <w:t>特聘农技员</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w:t>
      </w:r>
    </w:p>
    <w:p w14:paraId="7327B484">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第三条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所有特聘农技员都必须参加</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w:t>
      </w:r>
    </w:p>
    <w:p w14:paraId="109D2FB9">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第四条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考核采取考评与服务对象评议相结合的方法，</w:t>
      </w:r>
      <w:r>
        <w:rPr>
          <w:rFonts w:hint="eastAsia" w:ascii="Times New Roman" w:hAnsi="Times New Roman" w:eastAsia="仿宋_GB2312" w:cs="Times New Roman"/>
          <w:i w:val="0"/>
          <w:iCs w:val="0"/>
          <w:caps w:val="0"/>
          <w:color w:val="000000"/>
          <w:spacing w:val="0"/>
          <w:sz w:val="32"/>
          <w:szCs w:val="32"/>
          <w:lang w:eastAsia="zh-CN"/>
        </w:rPr>
        <w:t>县</w:t>
      </w:r>
      <w:r>
        <w:rPr>
          <w:rFonts w:hint="default" w:ascii="Times New Roman" w:hAnsi="Times New Roman" w:eastAsia="仿宋_GB2312" w:cs="Times New Roman"/>
          <w:i w:val="0"/>
          <w:iCs w:val="0"/>
          <w:caps w:val="0"/>
          <w:color w:val="000000"/>
          <w:spacing w:val="0"/>
          <w:sz w:val="32"/>
          <w:szCs w:val="32"/>
        </w:rPr>
        <w:t>农业农村局全面负责特聘农技员的考核工作，由</w:t>
      </w:r>
      <w:r>
        <w:rPr>
          <w:rFonts w:hint="eastAsia" w:ascii="Times New Roman" w:hAnsi="Times New Roman" w:eastAsia="仿宋_GB2312" w:cs="Times New Roman"/>
          <w:i w:val="0"/>
          <w:iCs w:val="0"/>
          <w:caps w:val="0"/>
          <w:color w:val="000000"/>
          <w:spacing w:val="0"/>
          <w:sz w:val="32"/>
          <w:szCs w:val="32"/>
          <w:lang w:eastAsia="zh-CN"/>
        </w:rPr>
        <w:t>县</w:t>
      </w:r>
      <w:r>
        <w:rPr>
          <w:rFonts w:hint="default" w:ascii="Times New Roman" w:hAnsi="Times New Roman" w:eastAsia="仿宋_GB2312" w:cs="Times New Roman"/>
          <w:i w:val="0"/>
          <w:iCs w:val="0"/>
          <w:caps w:val="0"/>
          <w:color w:val="000000"/>
          <w:spacing w:val="0"/>
          <w:sz w:val="32"/>
          <w:szCs w:val="32"/>
        </w:rPr>
        <w:t>农业农村局</w:t>
      </w:r>
      <w:r>
        <w:rPr>
          <w:rFonts w:hint="eastAsia" w:ascii="Times New Roman" w:hAnsi="Times New Roman" w:eastAsia="仿宋_GB2312" w:cs="Times New Roman"/>
          <w:i w:val="0"/>
          <w:iCs w:val="0"/>
          <w:caps w:val="0"/>
          <w:color w:val="000000"/>
          <w:spacing w:val="0"/>
          <w:sz w:val="32"/>
          <w:szCs w:val="32"/>
          <w:lang w:eastAsia="zh-CN"/>
        </w:rPr>
        <w:t>项目实施领导小组</w:t>
      </w:r>
      <w:r>
        <w:rPr>
          <w:rFonts w:hint="default" w:ascii="Times New Roman" w:hAnsi="Times New Roman" w:eastAsia="仿宋_GB2312" w:cs="Times New Roman"/>
          <w:i w:val="0"/>
          <w:iCs w:val="0"/>
          <w:caps w:val="0"/>
          <w:color w:val="000000"/>
          <w:spacing w:val="0"/>
          <w:sz w:val="32"/>
          <w:szCs w:val="32"/>
        </w:rPr>
        <w:t>具体实施。</w:t>
      </w:r>
      <w:r>
        <w:rPr>
          <w:rFonts w:hint="eastAsia" w:ascii="Times New Roman" w:hAnsi="Times New Roman" w:eastAsia="仿宋_GB2312" w:cs="Times New Roman"/>
          <w:i w:val="0"/>
          <w:iCs w:val="0"/>
          <w:caps w:val="0"/>
          <w:color w:val="000000"/>
          <w:spacing w:val="0"/>
          <w:sz w:val="32"/>
          <w:szCs w:val="32"/>
          <w:lang w:eastAsia="zh-CN"/>
        </w:rPr>
        <w:t>项目实施领导小组</w:t>
      </w:r>
      <w:r>
        <w:rPr>
          <w:rFonts w:hint="default" w:ascii="Times New Roman" w:hAnsi="Times New Roman" w:eastAsia="仿宋_GB2312" w:cs="Times New Roman"/>
          <w:i w:val="0"/>
          <w:iCs w:val="0"/>
          <w:caps w:val="0"/>
          <w:color w:val="000000"/>
          <w:spacing w:val="0"/>
          <w:sz w:val="32"/>
          <w:szCs w:val="32"/>
        </w:rPr>
        <w:t>组织相关</w:t>
      </w:r>
      <w:r>
        <w:rPr>
          <w:rFonts w:hint="default" w:ascii="Times New Roman" w:hAnsi="Times New Roman" w:eastAsia="仿宋_GB2312" w:cs="Times New Roman"/>
          <w:i w:val="0"/>
          <w:iCs w:val="0"/>
          <w:caps w:val="0"/>
          <w:color w:val="000000"/>
          <w:spacing w:val="0"/>
          <w:sz w:val="32"/>
          <w:szCs w:val="32"/>
          <w:lang w:eastAsia="zh-CN"/>
        </w:rPr>
        <w:t>农业</w:t>
      </w:r>
      <w:r>
        <w:rPr>
          <w:rFonts w:hint="default" w:ascii="Times New Roman" w:hAnsi="Times New Roman" w:eastAsia="仿宋_GB2312" w:cs="Times New Roman"/>
          <w:i w:val="0"/>
          <w:iCs w:val="0"/>
          <w:caps w:val="0"/>
          <w:color w:val="000000"/>
          <w:spacing w:val="0"/>
          <w:sz w:val="32"/>
          <w:szCs w:val="32"/>
        </w:rPr>
        <w:t>主管部门人员、服务对象对特聘农技员进行评议。</w:t>
      </w:r>
    </w:p>
    <w:p w14:paraId="4636E4C2">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第五条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考核包含综合考评（德、能、勤、绩）、业务考评（履行服务协议情况）、服务对象评议（服务主体满意度测评）等3项内容。考核实行百分制，上述三项考评得分之和即为特聘农技员考核得分。</w:t>
      </w:r>
    </w:p>
    <w:p w14:paraId="644A1688">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第六条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综合考评主要对其德、能、勤、绩进行考核，重点把推进当地特色优势产业发展及其产业扶贫</w:t>
      </w:r>
      <w:r>
        <w:rPr>
          <w:rFonts w:hint="eastAsia" w:ascii="Times New Roman" w:hAnsi="Times New Roman" w:eastAsia="仿宋_GB2312" w:cs="Times New Roman"/>
          <w:i w:val="0"/>
          <w:iCs w:val="0"/>
          <w:caps w:val="0"/>
          <w:color w:val="000000"/>
          <w:spacing w:val="0"/>
          <w:sz w:val="32"/>
          <w:szCs w:val="32"/>
          <w:lang w:eastAsia="zh-CN"/>
        </w:rPr>
        <w:t>、乡村振兴服务</w:t>
      </w:r>
      <w:r>
        <w:rPr>
          <w:rFonts w:hint="default" w:ascii="Times New Roman" w:hAnsi="Times New Roman" w:eastAsia="仿宋_GB2312" w:cs="Times New Roman"/>
          <w:i w:val="0"/>
          <w:iCs w:val="0"/>
          <w:caps w:val="0"/>
          <w:color w:val="000000"/>
          <w:spacing w:val="0"/>
          <w:sz w:val="32"/>
          <w:szCs w:val="32"/>
        </w:rPr>
        <w:t>等方面的实绩作为考核的主要内容，满分40分。</w:t>
      </w:r>
    </w:p>
    <w:p w14:paraId="02D01CBE">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第七条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业务考评主要对特聘农技人员履行服务协议内容完成情况及取得的实绩进行考评。考核根据特聘农技人员业务考评指标及评分标准打分，满分30分。</w:t>
      </w:r>
    </w:p>
    <w:p w14:paraId="49FAED58">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第八条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服务对象考评主要是由服务对象对其服务的满意度进行测评。一般需对3个以上服务对象以问卷调查或电话抽查等形式进行测评，满分30分。</w:t>
      </w:r>
    </w:p>
    <w:p w14:paraId="5C87BE41">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 xml:space="preserve">第九条 </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特聘农技员考核结果分为优秀、良好、合格、基本合格四个等次，总分达到90分及以上的为优秀，</w:t>
      </w:r>
      <w:r>
        <w:rPr>
          <w:rFonts w:hint="eastAsia" w:ascii="Times New Roman" w:hAnsi="Times New Roman" w:eastAsia="仿宋_GB2312" w:cs="Times New Roman"/>
          <w:i w:val="0"/>
          <w:iCs w:val="0"/>
          <w:caps w:val="0"/>
          <w:color w:val="000000"/>
          <w:spacing w:val="0"/>
          <w:sz w:val="32"/>
          <w:szCs w:val="32"/>
          <w:lang w:val="en-US" w:eastAsia="zh-CN"/>
        </w:rPr>
        <w:t>80</w:t>
      </w:r>
      <w:r>
        <w:rPr>
          <w:rFonts w:hint="eastAsia" w:ascii="仿宋_GB2312" w:hAnsi="仿宋_GB2312" w:eastAsia="仿宋_GB2312" w:cs="仿宋_GB2312"/>
          <w:i w:val="0"/>
          <w:iCs w:val="0"/>
          <w:caps w:val="0"/>
          <w:color w:val="000000"/>
          <w:spacing w:val="0"/>
          <w:sz w:val="32"/>
          <w:szCs w:val="32"/>
        </w:rPr>
        <w:t>～</w:t>
      </w:r>
      <w:r>
        <w:rPr>
          <w:rFonts w:hint="default" w:ascii="Times New Roman" w:hAnsi="Times New Roman" w:eastAsia="仿宋_GB2312" w:cs="Times New Roman"/>
          <w:i w:val="0"/>
          <w:iCs w:val="0"/>
          <w:caps w:val="0"/>
          <w:color w:val="000000"/>
          <w:spacing w:val="0"/>
          <w:sz w:val="32"/>
          <w:szCs w:val="32"/>
        </w:rPr>
        <w:t>89分的为</w:t>
      </w:r>
      <w:r>
        <w:rPr>
          <w:rFonts w:hint="eastAsia" w:ascii="Times New Roman" w:hAnsi="Times New Roman" w:eastAsia="仿宋_GB2312" w:cs="Times New Roman"/>
          <w:i w:val="0"/>
          <w:iCs w:val="0"/>
          <w:caps w:val="0"/>
          <w:color w:val="000000"/>
          <w:spacing w:val="0"/>
          <w:sz w:val="32"/>
          <w:szCs w:val="32"/>
          <w:lang w:eastAsia="zh-CN"/>
        </w:rPr>
        <w:t>良好，</w:t>
      </w:r>
      <w:r>
        <w:rPr>
          <w:rFonts w:hint="eastAsia" w:ascii="Times New Roman" w:hAnsi="Times New Roman" w:eastAsia="仿宋_GB2312" w:cs="Times New Roman"/>
          <w:i w:val="0"/>
          <w:iCs w:val="0"/>
          <w:caps w:val="0"/>
          <w:color w:val="000000"/>
          <w:spacing w:val="0"/>
          <w:sz w:val="32"/>
          <w:szCs w:val="32"/>
          <w:lang w:val="en-US" w:eastAsia="zh-CN"/>
        </w:rPr>
        <w:t>70-79分</w:t>
      </w:r>
      <w:r>
        <w:rPr>
          <w:rFonts w:hint="default" w:ascii="Times New Roman" w:hAnsi="Times New Roman" w:eastAsia="仿宋_GB2312" w:cs="Times New Roman"/>
          <w:i w:val="0"/>
          <w:iCs w:val="0"/>
          <w:caps w:val="0"/>
          <w:color w:val="000000"/>
          <w:spacing w:val="0"/>
          <w:sz w:val="32"/>
          <w:szCs w:val="32"/>
        </w:rPr>
        <w:t>合格，60</w:t>
      </w:r>
      <w:r>
        <w:rPr>
          <w:rFonts w:hint="eastAsia" w:ascii="仿宋_GB2312" w:hAnsi="仿宋_GB2312" w:eastAsia="仿宋_GB2312" w:cs="仿宋_GB2312"/>
          <w:i w:val="0"/>
          <w:iCs w:val="0"/>
          <w:caps w:val="0"/>
          <w:color w:val="000000"/>
          <w:spacing w:val="0"/>
          <w:sz w:val="32"/>
          <w:szCs w:val="32"/>
        </w:rPr>
        <w:t>～</w:t>
      </w:r>
      <w:r>
        <w:rPr>
          <w:rFonts w:hint="default" w:ascii="Times New Roman" w:hAnsi="Times New Roman" w:eastAsia="仿宋_GB2312" w:cs="Times New Roman"/>
          <w:i w:val="0"/>
          <w:iCs w:val="0"/>
          <w:caps w:val="0"/>
          <w:color w:val="000000"/>
          <w:spacing w:val="0"/>
          <w:sz w:val="32"/>
          <w:szCs w:val="32"/>
        </w:rPr>
        <w:t>69分的为基本合格，60分以下的为不合格。</w:t>
      </w:r>
    </w:p>
    <w:p w14:paraId="6ED64B6E">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 xml:space="preserve">第十条 </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特聘农技员因故服务时间未</w:t>
      </w:r>
      <w:r>
        <w:rPr>
          <w:rFonts w:hint="eastAsia" w:ascii="Times New Roman" w:hAnsi="Times New Roman" w:eastAsia="仿宋_GB2312" w:cs="Times New Roman"/>
          <w:i w:val="0"/>
          <w:iCs w:val="0"/>
          <w:caps w:val="0"/>
          <w:color w:val="000000"/>
          <w:spacing w:val="0"/>
          <w:sz w:val="32"/>
          <w:szCs w:val="32"/>
          <w:lang w:eastAsia="zh-CN"/>
        </w:rPr>
        <w:t>达服务期限的</w:t>
      </w:r>
      <w:r>
        <w:rPr>
          <w:rFonts w:hint="default" w:ascii="Times New Roman" w:hAnsi="Times New Roman" w:eastAsia="仿宋_GB2312" w:cs="Times New Roman"/>
          <w:i w:val="0"/>
          <w:iCs w:val="0"/>
          <w:caps w:val="0"/>
          <w:color w:val="000000"/>
          <w:spacing w:val="0"/>
          <w:sz w:val="32"/>
          <w:szCs w:val="32"/>
        </w:rPr>
        <w:t>，不参加</w:t>
      </w:r>
      <w:r>
        <w:rPr>
          <w:rFonts w:hint="eastAsia" w:ascii="Times New Roman" w:hAnsi="Times New Roman" w:eastAsia="仿宋_GB2312" w:cs="Times New Roman"/>
          <w:i w:val="0"/>
          <w:iCs w:val="0"/>
          <w:caps w:val="0"/>
          <w:color w:val="000000"/>
          <w:spacing w:val="0"/>
          <w:sz w:val="32"/>
          <w:szCs w:val="32"/>
          <w:lang w:eastAsia="zh-CN"/>
        </w:rPr>
        <w:t>服务</w:t>
      </w:r>
      <w:r>
        <w:rPr>
          <w:rFonts w:hint="default" w:ascii="Times New Roman" w:hAnsi="Times New Roman" w:eastAsia="仿宋_GB2312" w:cs="Times New Roman"/>
          <w:i w:val="0"/>
          <w:iCs w:val="0"/>
          <w:caps w:val="0"/>
          <w:color w:val="000000"/>
          <w:spacing w:val="0"/>
          <w:sz w:val="32"/>
          <w:szCs w:val="32"/>
        </w:rPr>
        <w:t>考核，</w:t>
      </w:r>
      <w:r>
        <w:rPr>
          <w:rFonts w:hint="eastAsia" w:ascii="Times New Roman" w:hAnsi="Times New Roman" w:eastAsia="仿宋_GB2312" w:cs="Times New Roman"/>
          <w:i w:val="0"/>
          <w:iCs w:val="0"/>
          <w:caps w:val="0"/>
          <w:color w:val="000000"/>
          <w:spacing w:val="0"/>
          <w:sz w:val="32"/>
          <w:szCs w:val="32"/>
          <w:lang w:eastAsia="zh-CN"/>
        </w:rPr>
        <w:t>不享受服务劳务待遇</w:t>
      </w:r>
      <w:r>
        <w:rPr>
          <w:rFonts w:hint="default" w:ascii="Times New Roman" w:hAnsi="Times New Roman" w:eastAsia="仿宋_GB2312" w:cs="Times New Roman"/>
          <w:i w:val="0"/>
          <w:iCs w:val="0"/>
          <w:caps w:val="0"/>
          <w:color w:val="000000"/>
          <w:spacing w:val="0"/>
          <w:sz w:val="32"/>
          <w:szCs w:val="32"/>
        </w:rPr>
        <w:t>。</w:t>
      </w:r>
    </w:p>
    <w:p w14:paraId="7A8EADB9">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第十一条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应参加</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考核的特聘农技员，无正当理由不参加</w:t>
      </w:r>
      <w:r>
        <w:rPr>
          <w:rFonts w:hint="eastAsia" w:ascii="Times New Roman" w:hAnsi="Times New Roman" w:eastAsia="仿宋_GB2312" w:cs="Times New Roman"/>
          <w:i w:val="0"/>
          <w:iCs w:val="0"/>
          <w:caps w:val="0"/>
          <w:color w:val="000000"/>
          <w:spacing w:val="0"/>
          <w:sz w:val="32"/>
          <w:szCs w:val="32"/>
          <w:lang w:eastAsia="zh-CN"/>
        </w:rPr>
        <w:t>考核</w:t>
      </w:r>
      <w:r>
        <w:rPr>
          <w:rFonts w:hint="default" w:ascii="Times New Roman" w:hAnsi="Times New Roman" w:eastAsia="仿宋_GB2312" w:cs="Times New Roman"/>
          <w:i w:val="0"/>
          <w:iCs w:val="0"/>
          <w:caps w:val="0"/>
          <w:color w:val="000000"/>
          <w:spacing w:val="0"/>
          <w:sz w:val="32"/>
          <w:szCs w:val="32"/>
        </w:rPr>
        <w:t>的，</w:t>
      </w:r>
      <w:r>
        <w:rPr>
          <w:rFonts w:hint="eastAsia" w:ascii="Times New Roman" w:hAnsi="Times New Roman" w:eastAsia="仿宋_GB2312" w:cs="Times New Roman"/>
          <w:i w:val="0"/>
          <w:iCs w:val="0"/>
          <w:caps w:val="0"/>
          <w:color w:val="000000"/>
          <w:spacing w:val="0"/>
          <w:sz w:val="32"/>
          <w:szCs w:val="32"/>
          <w:lang w:eastAsia="zh-CN"/>
        </w:rPr>
        <w:t>不享受服务劳务待遇</w:t>
      </w:r>
      <w:r>
        <w:rPr>
          <w:rFonts w:hint="default" w:ascii="Times New Roman" w:hAnsi="Times New Roman" w:eastAsia="仿宋_GB2312" w:cs="Times New Roman"/>
          <w:i w:val="0"/>
          <w:iCs w:val="0"/>
          <w:caps w:val="0"/>
          <w:color w:val="000000"/>
          <w:spacing w:val="0"/>
          <w:sz w:val="32"/>
          <w:szCs w:val="32"/>
        </w:rPr>
        <w:t>。</w:t>
      </w:r>
    </w:p>
    <w:p w14:paraId="6FFD4F6B">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第十</w:t>
      </w:r>
      <w:r>
        <w:rPr>
          <w:rFonts w:hint="eastAsia" w:ascii="Times New Roman" w:hAnsi="Times New Roman" w:eastAsia="仿宋_GB2312" w:cs="Times New Roman"/>
          <w:i w:val="0"/>
          <w:iCs w:val="0"/>
          <w:caps w:val="0"/>
          <w:color w:val="000000"/>
          <w:spacing w:val="0"/>
          <w:sz w:val="32"/>
          <w:szCs w:val="32"/>
          <w:lang w:eastAsia="zh-CN"/>
        </w:rPr>
        <w:t>二</w:t>
      </w:r>
      <w:r>
        <w:rPr>
          <w:rFonts w:hint="default" w:ascii="Times New Roman" w:hAnsi="Times New Roman" w:eastAsia="仿宋_GB2312" w:cs="Times New Roman"/>
          <w:i w:val="0"/>
          <w:iCs w:val="0"/>
          <w:caps w:val="0"/>
          <w:color w:val="000000"/>
          <w:spacing w:val="0"/>
          <w:sz w:val="32"/>
          <w:szCs w:val="32"/>
        </w:rPr>
        <w:t>条</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 xml:space="preserve"> 对特聘农技员获得</w:t>
      </w:r>
      <w:r>
        <w:rPr>
          <w:rFonts w:hint="eastAsia" w:ascii="Times New Roman" w:hAnsi="Times New Roman" w:eastAsia="仿宋_GB2312" w:cs="Times New Roman"/>
          <w:i w:val="0"/>
          <w:iCs w:val="0"/>
          <w:caps w:val="0"/>
          <w:color w:val="000000"/>
          <w:spacing w:val="0"/>
          <w:sz w:val="32"/>
          <w:szCs w:val="32"/>
          <w:lang w:eastAsia="zh-CN"/>
        </w:rPr>
        <w:t>服务期</w:t>
      </w:r>
      <w:r>
        <w:rPr>
          <w:rFonts w:hint="default" w:ascii="Times New Roman" w:hAnsi="Times New Roman" w:eastAsia="仿宋_GB2312" w:cs="Times New Roman"/>
          <w:i w:val="0"/>
          <w:iCs w:val="0"/>
          <w:caps w:val="0"/>
          <w:color w:val="000000"/>
          <w:spacing w:val="0"/>
          <w:sz w:val="32"/>
          <w:szCs w:val="32"/>
        </w:rPr>
        <w:t>考核优秀者，将作为下年优先续聘依据。</w:t>
      </w:r>
    </w:p>
    <w:p w14:paraId="194CB539">
      <w:pPr>
        <w:pStyle w:val="4"/>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 xml:space="preserve">第十四条 </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本办法由</w:t>
      </w:r>
      <w:r>
        <w:rPr>
          <w:rFonts w:hint="eastAsia" w:ascii="Times New Roman" w:hAnsi="Times New Roman" w:eastAsia="仿宋_GB2312" w:cs="Times New Roman"/>
          <w:i w:val="0"/>
          <w:iCs w:val="0"/>
          <w:caps w:val="0"/>
          <w:color w:val="000000"/>
          <w:spacing w:val="0"/>
          <w:sz w:val="32"/>
          <w:szCs w:val="32"/>
          <w:lang w:eastAsia="zh-CN"/>
        </w:rPr>
        <w:t>织金县</w:t>
      </w:r>
      <w:r>
        <w:rPr>
          <w:rFonts w:hint="default" w:ascii="Times New Roman" w:hAnsi="Times New Roman" w:eastAsia="仿宋_GB2312" w:cs="Times New Roman"/>
          <w:i w:val="0"/>
          <w:iCs w:val="0"/>
          <w:caps w:val="0"/>
          <w:color w:val="000000"/>
          <w:spacing w:val="0"/>
          <w:sz w:val="32"/>
          <w:szCs w:val="32"/>
        </w:rPr>
        <w:t>农业农村局负责解释。</w:t>
      </w:r>
    </w:p>
    <w:p w14:paraId="67275FCE">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i w:val="0"/>
          <w:iCs w:val="0"/>
          <w:caps w:val="0"/>
          <w:color w:val="000000"/>
          <w:spacing w:val="0"/>
          <w:sz w:val="32"/>
          <w:szCs w:val="32"/>
        </w:rPr>
        <w:t xml:space="preserve">第十五条 </w:t>
      </w:r>
      <w:r>
        <w:rPr>
          <w:rFonts w:hint="eastAsia" w:ascii="Times New Roman" w:hAnsi="Times New Roman" w:eastAsia="仿宋_GB2312" w:cs="Times New Roman"/>
          <w:i w:val="0"/>
          <w:iCs w:val="0"/>
          <w:caps w:val="0"/>
          <w:color w:val="000000"/>
          <w:spacing w:val="0"/>
          <w:sz w:val="32"/>
          <w:szCs w:val="32"/>
          <w:lang w:val="en-US" w:eastAsia="zh-CN"/>
        </w:rPr>
        <w:t xml:space="preserve"> </w:t>
      </w:r>
      <w:r>
        <w:rPr>
          <w:rFonts w:hint="default" w:ascii="Times New Roman" w:hAnsi="Times New Roman" w:eastAsia="仿宋_GB2312" w:cs="Times New Roman"/>
          <w:i w:val="0"/>
          <w:iCs w:val="0"/>
          <w:caps w:val="0"/>
          <w:color w:val="000000"/>
          <w:spacing w:val="0"/>
          <w:sz w:val="32"/>
          <w:szCs w:val="32"/>
        </w:rPr>
        <w:t>本办法自行文之日起施行。</w:t>
      </w:r>
    </w:p>
    <w:p w14:paraId="5808F61E">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p>
    <w:p w14:paraId="095FAA59">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i w:val="0"/>
          <w:iCs w:val="0"/>
          <w:caps w:val="0"/>
          <w:color w:val="000000"/>
          <w:spacing w:val="0"/>
          <w:sz w:val="32"/>
          <w:szCs w:val="32"/>
          <w:lang w:val="en-US" w:eastAsia="zh-CN"/>
        </w:rPr>
        <w:t>附件：织金县2025年特聘农技员绩效考核表</w:t>
      </w:r>
    </w:p>
    <w:p w14:paraId="421E7182">
      <w:pPr>
        <w:keepNext w:val="0"/>
        <w:keepLines w:val="0"/>
        <w:pageBreakBefore w:val="0"/>
        <w:widowControl w:val="0"/>
        <w:kinsoku/>
        <w:wordWrap w:val="0"/>
        <w:overflowPunct/>
        <w:topLinePunct w:val="0"/>
        <w:autoSpaceDE/>
        <w:autoSpaceDN/>
        <w:bidi w:val="0"/>
        <w:adjustRightInd/>
        <w:snapToGrid/>
        <w:spacing w:line="560" w:lineRule="exact"/>
        <w:ind w:firstLine="0" w:firstLineChars="0"/>
        <w:jc w:val="right"/>
        <w:textAlignment w:val="auto"/>
        <w:rPr>
          <w:rFonts w:hint="default" w:ascii="Times New Roman" w:hAnsi="Times New Roman" w:eastAsia="仿宋_GB2312" w:cs="Times New Roman"/>
          <w:sz w:val="32"/>
          <w:szCs w:val="32"/>
        </w:rPr>
      </w:pPr>
    </w:p>
    <w:p w14:paraId="76368CC3">
      <w:pPr>
        <w:keepNext w:val="0"/>
        <w:keepLines w:val="0"/>
        <w:pageBreakBefore w:val="0"/>
        <w:widowControl w:val="0"/>
        <w:kinsoku/>
        <w:wordWrap w:val="0"/>
        <w:overflowPunct/>
        <w:topLinePunct w:val="0"/>
        <w:autoSpaceDE/>
        <w:autoSpaceDN/>
        <w:bidi w:val="0"/>
        <w:adjustRightInd/>
        <w:snapToGrid/>
        <w:spacing w:line="560" w:lineRule="exact"/>
        <w:ind w:firstLine="0" w:firstLineChars="0"/>
        <w:jc w:val="right"/>
        <w:textAlignment w:val="auto"/>
        <w:rPr>
          <w:rFonts w:hint="default" w:ascii="Times New Roman" w:hAnsi="Times New Roman" w:eastAsia="仿宋_GB2312" w:cs="Times New Roman"/>
          <w:sz w:val="32"/>
          <w:szCs w:val="32"/>
        </w:rPr>
      </w:pPr>
    </w:p>
    <w:p w14:paraId="72D0B228">
      <w:pPr>
        <w:keepNext w:val="0"/>
        <w:keepLines w:val="0"/>
        <w:pageBreakBefore w:val="0"/>
        <w:widowControl w:val="0"/>
        <w:kinsoku/>
        <w:wordWrap w:val="0"/>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eastAsia="zh-CN"/>
        </w:rPr>
        <w:t>织金县农业农村局</w:t>
      </w:r>
    </w:p>
    <w:p w14:paraId="6874073C">
      <w:pPr>
        <w:keepNext w:val="0"/>
        <w:keepLines w:val="0"/>
        <w:pageBreakBefore w:val="0"/>
        <w:widowControl w:val="0"/>
        <w:kinsoku/>
        <w:wordWrap w:val="0"/>
        <w:overflowPunct/>
        <w:topLinePunct w:val="0"/>
        <w:autoSpaceDE/>
        <w:autoSpaceDN/>
        <w:bidi w:val="0"/>
        <w:adjustRightInd/>
        <w:snapToGrid/>
        <w:spacing w:line="560" w:lineRule="exact"/>
        <w:ind w:firstLine="0" w:firstLineChars="0"/>
        <w:jc w:val="right"/>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w:t>
      </w:r>
      <w:r>
        <w:rPr>
          <w:rFonts w:hint="eastAsia" w:ascii="Times New Roman" w:hAnsi="Times New Roman" w:eastAsia="仿宋_GB2312" w:cs="Times New Roman"/>
          <w:sz w:val="32"/>
          <w:szCs w:val="32"/>
          <w:lang w:val="en-US" w:eastAsia="zh-CN"/>
        </w:rPr>
        <w:t xml:space="preserve">        </w:t>
      </w:r>
    </w:p>
    <w:p w14:paraId="07A4FCA8">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Times New Roman" w:eastAsia="仿宋_GB2312" w:cs="Times New Roman"/>
          <w:sz w:val="32"/>
          <w:szCs w:val="32"/>
          <w:lang w:val="en-US" w:eastAsia="zh-CN"/>
        </w:rPr>
      </w:pPr>
    </w:p>
    <w:p w14:paraId="13864028">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Times New Roman" w:eastAsia="仿宋_GB2312" w:cs="Times New Roman"/>
          <w:sz w:val="32"/>
          <w:szCs w:val="32"/>
          <w:lang w:val="en-US" w:eastAsia="zh-CN"/>
        </w:rPr>
      </w:pPr>
    </w:p>
    <w:p w14:paraId="1CFC2D39">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Times New Roman" w:hAnsi="Times New Roman" w:eastAsia="仿宋_GB2312" w:cs="Times New Roman"/>
          <w:sz w:val="32"/>
          <w:szCs w:val="32"/>
          <w:lang w:val="en-US" w:eastAsia="zh-CN"/>
        </w:rPr>
      </w:pPr>
    </w:p>
    <w:p w14:paraId="20F407AC">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Times New Roman" w:eastAsia="仿宋_GB2312" w:cs="Times New Roman"/>
          <w:sz w:val="32"/>
          <w:szCs w:val="32"/>
          <w:lang w:val="en-US" w:eastAsia="zh-CN"/>
        </w:rPr>
      </w:pPr>
    </w:p>
    <w:p w14:paraId="4DEB8CF8">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Times New Roman" w:hAnsi="Times New Roman" w:eastAsia="仿宋_GB2312" w:cs="Times New Roman"/>
          <w:sz w:val="32"/>
          <w:szCs w:val="32"/>
          <w:lang w:val="en-US" w:eastAsia="zh-CN"/>
        </w:rPr>
        <w:sectPr>
          <w:headerReference r:id="rId3" w:type="default"/>
          <w:footerReference r:id="rId4" w:type="default"/>
          <w:footerReference r:id="rId5" w:type="even"/>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pPr>
    </w:p>
    <w:p w14:paraId="54BDF7BD">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14:paraId="31C49A3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织金县2025年</w:t>
      </w:r>
      <w:r>
        <w:rPr>
          <w:rFonts w:hint="eastAsia" w:ascii="方正小标宋简体" w:hAnsi="方正小标宋简体" w:eastAsia="方正小标宋简体" w:cs="方正小标宋简体"/>
          <w:b w:val="0"/>
          <w:bCs w:val="0"/>
          <w:sz w:val="32"/>
          <w:szCs w:val="32"/>
          <w:lang w:eastAsia="zh-CN"/>
        </w:rPr>
        <w:t>特聘农技员绩效考核表</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10"/>
        <w:gridCol w:w="2261"/>
        <w:gridCol w:w="9298"/>
        <w:gridCol w:w="1221"/>
        <w:gridCol w:w="1030"/>
      </w:tblGrid>
      <w:tr w14:paraId="1FD4F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310" w:type="dxa"/>
            <w:tcBorders>
              <w:top w:val="single" w:color="000000" w:sz="4" w:space="0"/>
              <w:left w:val="single" w:color="000000" w:sz="4" w:space="0"/>
              <w:bottom w:val="nil"/>
              <w:right w:val="single" w:color="000000" w:sz="4" w:space="0"/>
            </w:tcBorders>
            <w:noWrap w:val="0"/>
            <w:tcMar>
              <w:top w:w="10" w:type="dxa"/>
              <w:left w:w="10" w:type="dxa"/>
              <w:right w:w="10" w:type="dxa"/>
            </w:tcMar>
            <w:vAlign w:val="center"/>
          </w:tcPr>
          <w:p w14:paraId="224CB6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kern w:val="0"/>
                <w:sz w:val="24"/>
                <w:szCs w:val="24"/>
                <w:lang w:val="en-US" w:eastAsia="zh-CN" w:bidi="ar"/>
              </w:rPr>
            </w:pPr>
            <w:r>
              <w:rPr>
                <w:rFonts w:hint="eastAsia" w:ascii="黑体" w:hAnsi="黑体" w:eastAsia="黑体" w:cs="黑体"/>
                <w:b w:val="0"/>
                <w:bCs w:val="0"/>
                <w:sz w:val="21"/>
                <w:szCs w:val="21"/>
              </w:rPr>
              <w:t>考评项目</w:t>
            </w:r>
          </w:p>
        </w:tc>
        <w:tc>
          <w:tcPr>
            <w:tcW w:w="2261" w:type="dxa"/>
            <w:tcBorders>
              <w:top w:val="single" w:color="000000" w:sz="4" w:space="0"/>
              <w:left w:val="nil"/>
              <w:bottom w:val="nil"/>
              <w:right w:val="single" w:color="000000" w:sz="4" w:space="0"/>
            </w:tcBorders>
            <w:noWrap w:val="0"/>
            <w:tcMar>
              <w:top w:w="10" w:type="dxa"/>
              <w:left w:w="10" w:type="dxa"/>
              <w:right w:w="10" w:type="dxa"/>
            </w:tcMar>
            <w:vAlign w:val="center"/>
          </w:tcPr>
          <w:p w14:paraId="7E4AFB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rPr>
              <w:t>考评指标</w:t>
            </w:r>
          </w:p>
          <w:p w14:paraId="6802FB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kern w:val="0"/>
                <w:sz w:val="24"/>
                <w:szCs w:val="24"/>
                <w:lang w:val="en-US" w:eastAsia="zh-CN" w:bidi="ar"/>
              </w:rPr>
            </w:pPr>
            <w:r>
              <w:rPr>
                <w:rFonts w:hint="eastAsia" w:ascii="黑体" w:hAnsi="黑体" w:eastAsia="黑体" w:cs="黑体"/>
                <w:b w:val="0"/>
                <w:bCs w:val="0"/>
                <w:sz w:val="21"/>
                <w:szCs w:val="21"/>
              </w:rPr>
              <w:t>和分值</w:t>
            </w:r>
          </w:p>
        </w:tc>
        <w:tc>
          <w:tcPr>
            <w:tcW w:w="9298"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1D2074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kern w:val="0"/>
                <w:sz w:val="24"/>
                <w:szCs w:val="24"/>
                <w:lang w:val="en-US" w:eastAsia="zh-CN" w:bidi="ar"/>
              </w:rPr>
            </w:pPr>
            <w:r>
              <w:rPr>
                <w:rFonts w:hint="eastAsia" w:ascii="黑体" w:hAnsi="黑体" w:eastAsia="黑体" w:cs="黑体"/>
                <w:b w:val="0"/>
                <w:bCs w:val="0"/>
                <w:sz w:val="21"/>
                <w:szCs w:val="21"/>
              </w:rPr>
              <w:t>考评内容</w:t>
            </w:r>
          </w:p>
        </w:tc>
        <w:tc>
          <w:tcPr>
            <w:tcW w:w="1221"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3B9BE6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kern w:val="0"/>
                <w:sz w:val="24"/>
                <w:szCs w:val="24"/>
                <w:lang w:val="en-US" w:eastAsia="zh-CN" w:bidi="ar"/>
              </w:rPr>
            </w:pPr>
            <w:r>
              <w:rPr>
                <w:rFonts w:hint="eastAsia" w:ascii="黑体" w:hAnsi="黑体" w:eastAsia="黑体" w:cs="黑体"/>
                <w:b w:val="0"/>
                <w:bCs w:val="0"/>
                <w:sz w:val="21"/>
                <w:szCs w:val="21"/>
              </w:rPr>
              <w:t>自评得分</w:t>
            </w:r>
          </w:p>
        </w:tc>
        <w:tc>
          <w:tcPr>
            <w:tcW w:w="1030"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4738DD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黑体" w:hAnsi="黑体" w:eastAsia="黑体" w:cs="黑体"/>
                <w:b w:val="0"/>
                <w:bCs w:val="0"/>
                <w:kern w:val="0"/>
                <w:sz w:val="24"/>
                <w:szCs w:val="24"/>
                <w:lang w:val="en-US" w:eastAsia="zh-CN" w:bidi="ar"/>
              </w:rPr>
            </w:pPr>
            <w:r>
              <w:rPr>
                <w:rFonts w:hint="eastAsia" w:ascii="黑体" w:hAnsi="黑体" w:eastAsia="黑体" w:cs="黑体"/>
                <w:b w:val="0"/>
                <w:bCs w:val="0"/>
                <w:sz w:val="21"/>
                <w:szCs w:val="21"/>
              </w:rPr>
              <w:t>县级考评</w:t>
            </w:r>
          </w:p>
        </w:tc>
      </w:tr>
      <w:tr w14:paraId="0D55B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310"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780885E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lang w:eastAsia="zh-CN"/>
              </w:rPr>
            </w:pPr>
            <w:r>
              <w:rPr>
                <w:rFonts w:hint="eastAsia" w:ascii="楷体_GB2312" w:hAnsi="楷体_GB2312" w:eastAsia="楷体_GB2312" w:cs="楷体_GB2312"/>
                <w:b w:val="0"/>
                <w:bCs w:val="0"/>
                <w:sz w:val="21"/>
                <w:szCs w:val="21"/>
              </w:rPr>
              <w:t>一、综合考评（40分）</w:t>
            </w:r>
          </w:p>
        </w:tc>
        <w:tc>
          <w:tcPr>
            <w:tcW w:w="2261"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0D05CF9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德</w:t>
            </w:r>
          </w:p>
          <w:p w14:paraId="7774BE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（5分）</w:t>
            </w:r>
          </w:p>
        </w:tc>
        <w:tc>
          <w:tcPr>
            <w:tcW w:w="9298" w:type="dxa"/>
            <w:tcBorders>
              <w:top w:val="nil"/>
              <w:left w:val="nil"/>
              <w:bottom w:val="nil"/>
              <w:right w:val="single" w:color="000000" w:sz="4" w:space="0"/>
            </w:tcBorders>
            <w:noWrap w:val="0"/>
            <w:tcMar>
              <w:top w:w="10" w:type="dxa"/>
              <w:left w:w="10" w:type="dxa"/>
              <w:right w:w="10" w:type="dxa"/>
            </w:tcMar>
            <w:vAlign w:val="center"/>
          </w:tcPr>
          <w:p w14:paraId="108B67C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在服务三农工作职业道德、服务意识、责任心强等方面，按照社会公论好、较好、一般三档次，分别给予5分、4分、3分。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62CA7D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08D6FB2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1107A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4" w:hRule="atLeast"/>
          <w:jc w:val="center"/>
        </w:trPr>
        <w:tc>
          <w:tcPr>
            <w:tcW w:w="1310" w:type="dxa"/>
            <w:vMerge w:val="continue"/>
            <w:tcBorders>
              <w:left w:val="single" w:color="000000" w:sz="4" w:space="0"/>
              <w:right w:val="single" w:color="000000" w:sz="4" w:space="0"/>
            </w:tcBorders>
            <w:noWrap w:val="0"/>
            <w:tcMar>
              <w:top w:w="10" w:type="dxa"/>
              <w:left w:w="10" w:type="dxa"/>
              <w:right w:w="10" w:type="dxa"/>
            </w:tcMar>
            <w:vAlign w:val="center"/>
          </w:tcPr>
          <w:p w14:paraId="418817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rPr>
            </w:pPr>
          </w:p>
        </w:tc>
        <w:tc>
          <w:tcPr>
            <w:tcW w:w="2261" w:type="dxa"/>
            <w:tcBorders>
              <w:top w:val="nil"/>
              <w:left w:val="nil"/>
              <w:bottom w:val="nil"/>
              <w:right w:val="single" w:color="000000" w:sz="4" w:space="0"/>
            </w:tcBorders>
            <w:noWrap w:val="0"/>
            <w:tcMar>
              <w:top w:w="10" w:type="dxa"/>
              <w:left w:w="10" w:type="dxa"/>
              <w:right w:w="10" w:type="dxa"/>
            </w:tcMar>
            <w:vAlign w:val="center"/>
          </w:tcPr>
          <w:p w14:paraId="73486A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能</w:t>
            </w:r>
          </w:p>
          <w:p w14:paraId="71AB78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（10分）</w:t>
            </w:r>
          </w:p>
        </w:tc>
        <w:tc>
          <w:tcPr>
            <w:tcW w:w="9298" w:type="dxa"/>
            <w:tcBorders>
              <w:top w:val="single" w:color="000000" w:sz="4" w:space="0"/>
              <w:left w:val="nil"/>
              <w:bottom w:val="nil"/>
              <w:right w:val="single" w:color="000000" w:sz="4" w:space="0"/>
            </w:tcBorders>
            <w:noWrap w:val="0"/>
            <w:tcMar>
              <w:top w:w="10" w:type="dxa"/>
              <w:left w:w="10" w:type="dxa"/>
              <w:right w:w="10" w:type="dxa"/>
            </w:tcMar>
            <w:vAlign w:val="center"/>
          </w:tcPr>
          <w:p w14:paraId="5AB81C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有制定</w:t>
            </w:r>
            <w:r>
              <w:rPr>
                <w:rFonts w:hint="eastAsia" w:ascii="Times New Roman" w:hAnsi="Times New Roman" w:eastAsia="仿宋_GB2312" w:cs="Times New Roman"/>
                <w:sz w:val="21"/>
                <w:szCs w:val="21"/>
                <w:lang w:eastAsia="zh-CN"/>
              </w:rPr>
              <w:t>服务期</w:t>
            </w:r>
            <w:r>
              <w:rPr>
                <w:rFonts w:hint="default" w:ascii="Times New Roman" w:hAnsi="Times New Roman" w:eastAsia="仿宋_GB2312" w:cs="Times New Roman"/>
                <w:sz w:val="21"/>
                <w:szCs w:val="21"/>
              </w:rPr>
              <w:t>技术指导服务计划的得1分，否则不得分；有联系有关专家且配合</w:t>
            </w:r>
            <w:r>
              <w:rPr>
                <w:rFonts w:hint="default" w:ascii="Times New Roman" w:hAnsi="Times New Roman" w:eastAsia="仿宋_GB2312" w:cs="Times New Roman"/>
                <w:sz w:val="21"/>
                <w:szCs w:val="21"/>
                <w:lang w:eastAsia="zh-CN"/>
              </w:rPr>
              <w:t>县</w:t>
            </w:r>
            <w:r>
              <w:rPr>
                <w:rFonts w:hint="default" w:ascii="Times New Roman" w:hAnsi="Times New Roman" w:eastAsia="仿宋_GB2312" w:cs="Times New Roman"/>
                <w:sz w:val="21"/>
                <w:szCs w:val="21"/>
              </w:rPr>
              <w:t>乡农技员开展农技推广服务的得2分，否则不得分；帮助农户（</w:t>
            </w:r>
            <w:r>
              <w:rPr>
                <w:rFonts w:hint="eastAsia" w:ascii="Times New Roman" w:hAnsi="Times New Roman" w:eastAsia="仿宋_GB2312" w:cs="Times New Roman"/>
                <w:sz w:val="21"/>
                <w:szCs w:val="21"/>
                <w:lang w:eastAsia="zh-CN"/>
              </w:rPr>
              <w:t>建档</w:t>
            </w:r>
            <w:r>
              <w:rPr>
                <w:rFonts w:hint="default" w:ascii="Times New Roman" w:hAnsi="Times New Roman" w:eastAsia="仿宋_GB2312" w:cs="Times New Roman"/>
                <w:sz w:val="21"/>
                <w:szCs w:val="21"/>
              </w:rPr>
              <w:t>户）解决一项技术问题得1分，封顶5分；有组织技术培训（室内培训或现场培训）不少于2次的得2分，每少1次扣1分；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25F1741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7396392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167BB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310" w:type="dxa"/>
            <w:vMerge w:val="continue"/>
            <w:tcBorders>
              <w:left w:val="single" w:color="000000" w:sz="4" w:space="0"/>
              <w:right w:val="single" w:color="000000" w:sz="4" w:space="0"/>
            </w:tcBorders>
            <w:noWrap w:val="0"/>
            <w:tcMar>
              <w:top w:w="10" w:type="dxa"/>
              <w:left w:w="10" w:type="dxa"/>
              <w:right w:w="10" w:type="dxa"/>
            </w:tcMar>
            <w:vAlign w:val="center"/>
          </w:tcPr>
          <w:p w14:paraId="366EB9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rPr>
            </w:pPr>
          </w:p>
        </w:tc>
        <w:tc>
          <w:tcPr>
            <w:tcW w:w="2261" w:type="dxa"/>
            <w:tcBorders>
              <w:top w:val="single" w:color="000000" w:sz="4" w:space="0"/>
              <w:left w:val="nil"/>
              <w:bottom w:val="nil"/>
              <w:right w:val="single" w:color="000000" w:sz="4" w:space="0"/>
            </w:tcBorders>
            <w:noWrap w:val="0"/>
            <w:tcMar>
              <w:top w:w="10" w:type="dxa"/>
              <w:left w:w="10" w:type="dxa"/>
              <w:right w:w="10" w:type="dxa"/>
            </w:tcMar>
            <w:vAlign w:val="center"/>
          </w:tcPr>
          <w:p w14:paraId="31B977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勤</w:t>
            </w:r>
          </w:p>
          <w:p w14:paraId="7B2F720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（10分）</w:t>
            </w:r>
          </w:p>
        </w:tc>
        <w:tc>
          <w:tcPr>
            <w:tcW w:w="9298" w:type="dxa"/>
            <w:tcBorders>
              <w:top w:val="single" w:color="000000" w:sz="4" w:space="0"/>
              <w:left w:val="nil"/>
              <w:bottom w:val="nil"/>
              <w:right w:val="single" w:color="000000" w:sz="4" w:space="0"/>
            </w:tcBorders>
            <w:noWrap w:val="0"/>
            <w:tcMar>
              <w:top w:w="10" w:type="dxa"/>
              <w:left w:w="10" w:type="dxa"/>
              <w:right w:w="10" w:type="dxa"/>
            </w:tcMar>
            <w:vAlign w:val="center"/>
          </w:tcPr>
          <w:p w14:paraId="428FB8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每月下乡指导服务不少于10次，并能提供下乡指导服务日志和图片得10分；每少1次扣1分。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3E06EC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2FAE6E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7F9E5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5" w:hRule="atLeast"/>
          <w:jc w:val="center"/>
        </w:trPr>
        <w:tc>
          <w:tcPr>
            <w:tcW w:w="1310"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60103BD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rPr>
            </w:pPr>
          </w:p>
        </w:tc>
        <w:tc>
          <w:tcPr>
            <w:tcW w:w="2261" w:type="dxa"/>
            <w:tcBorders>
              <w:top w:val="single" w:color="000000" w:sz="4" w:space="0"/>
              <w:left w:val="nil"/>
              <w:bottom w:val="nil"/>
              <w:right w:val="single" w:color="000000" w:sz="4" w:space="0"/>
            </w:tcBorders>
            <w:noWrap w:val="0"/>
            <w:tcMar>
              <w:top w:w="10" w:type="dxa"/>
              <w:left w:w="10" w:type="dxa"/>
              <w:right w:w="10" w:type="dxa"/>
            </w:tcMar>
            <w:vAlign w:val="center"/>
          </w:tcPr>
          <w:p w14:paraId="7B505D3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绩</w:t>
            </w:r>
          </w:p>
          <w:p w14:paraId="7D7E77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（15分）</w:t>
            </w:r>
          </w:p>
        </w:tc>
        <w:tc>
          <w:tcPr>
            <w:tcW w:w="9298"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5AF2E9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推广农业“五新”（新品种、新技术、新肥料、新机具、新农药或兽药）每项技术得2.5分，封顶10分；带动</w:t>
            </w:r>
            <w:r>
              <w:rPr>
                <w:rFonts w:hint="eastAsia" w:ascii="Times New Roman" w:hAnsi="Times New Roman" w:eastAsia="仿宋_GB2312" w:cs="Times New Roman"/>
                <w:sz w:val="21"/>
                <w:szCs w:val="21"/>
                <w:lang w:eastAsia="zh-CN"/>
              </w:rPr>
              <w:t>所服务产业在</w:t>
            </w:r>
            <w:r>
              <w:rPr>
                <w:rFonts w:hint="default" w:ascii="Times New Roman" w:hAnsi="Times New Roman" w:eastAsia="仿宋_GB2312" w:cs="Times New Roman"/>
                <w:sz w:val="21"/>
                <w:szCs w:val="21"/>
              </w:rPr>
              <w:t>当地发展成效显著、较显著、一般的分别给予5分、4分、3分。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6F4721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7EA13D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20D29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310" w:type="dxa"/>
            <w:vMerge w:val="restart"/>
            <w:tcBorders>
              <w:top w:val="nil"/>
              <w:left w:val="single" w:color="000000" w:sz="4" w:space="0"/>
              <w:right w:val="single" w:color="000000" w:sz="4" w:space="0"/>
            </w:tcBorders>
            <w:noWrap w:val="0"/>
            <w:tcMar>
              <w:top w:w="10" w:type="dxa"/>
              <w:left w:w="10" w:type="dxa"/>
              <w:right w:w="10" w:type="dxa"/>
            </w:tcMar>
            <w:vAlign w:val="center"/>
          </w:tcPr>
          <w:p w14:paraId="75C1EF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lang w:eastAsia="zh-CN"/>
              </w:rPr>
            </w:pPr>
            <w:r>
              <w:rPr>
                <w:rFonts w:hint="eastAsia" w:ascii="楷体_GB2312" w:hAnsi="楷体_GB2312" w:eastAsia="楷体_GB2312" w:cs="楷体_GB2312"/>
                <w:b w:val="0"/>
                <w:bCs w:val="0"/>
                <w:sz w:val="21"/>
                <w:szCs w:val="21"/>
              </w:rPr>
              <w:t>二、业务考评（30分）</w:t>
            </w:r>
          </w:p>
        </w:tc>
        <w:tc>
          <w:tcPr>
            <w:tcW w:w="2261" w:type="dxa"/>
            <w:tcBorders>
              <w:top w:val="single" w:color="000000" w:sz="4" w:space="0"/>
              <w:left w:val="nil"/>
              <w:bottom w:val="single" w:color="000000" w:sz="4" w:space="0"/>
              <w:right w:val="single" w:color="000000" w:sz="4" w:space="0"/>
            </w:tcBorders>
            <w:noWrap w:val="0"/>
            <w:tcMar>
              <w:top w:w="10" w:type="dxa"/>
              <w:left w:w="10" w:type="dxa"/>
              <w:right w:w="10" w:type="dxa"/>
            </w:tcMar>
            <w:vAlign w:val="center"/>
          </w:tcPr>
          <w:p w14:paraId="24BA892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服务基地建设</w:t>
            </w:r>
          </w:p>
          <w:p w14:paraId="35B96FF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（15分）</w:t>
            </w:r>
          </w:p>
        </w:tc>
        <w:tc>
          <w:tcPr>
            <w:tcW w:w="9298" w:type="dxa"/>
            <w:tcBorders>
              <w:top w:val="nil"/>
              <w:left w:val="nil"/>
              <w:bottom w:val="single" w:color="000000" w:sz="4" w:space="0"/>
              <w:right w:val="single" w:color="000000" w:sz="4" w:space="0"/>
            </w:tcBorders>
            <w:noWrap w:val="0"/>
            <w:tcMar>
              <w:top w:w="10" w:type="dxa"/>
              <w:left w:w="10" w:type="dxa"/>
              <w:right w:w="10" w:type="dxa"/>
            </w:tcMar>
            <w:vAlign w:val="center"/>
          </w:tcPr>
          <w:p w14:paraId="78C959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有建立或</w:t>
            </w:r>
            <w:r>
              <w:rPr>
                <w:rFonts w:hint="default" w:ascii="Times New Roman" w:hAnsi="Times New Roman" w:eastAsia="仿宋_GB2312" w:cs="Times New Roman"/>
                <w:sz w:val="21"/>
                <w:szCs w:val="21"/>
                <w:lang w:eastAsia="zh-CN"/>
              </w:rPr>
              <w:t>对接服务</w:t>
            </w:r>
            <w:r>
              <w:rPr>
                <w:rFonts w:hint="default" w:ascii="Times New Roman" w:hAnsi="Times New Roman" w:eastAsia="仿宋_GB2312" w:cs="Times New Roman"/>
                <w:sz w:val="21"/>
                <w:szCs w:val="21"/>
              </w:rPr>
              <w:t>一个产业示范基地的</w:t>
            </w:r>
            <w:r>
              <w:rPr>
                <w:rFonts w:hint="eastAsia" w:ascii="Times New Roman" w:hAnsi="Times New Roman" w:eastAsia="仿宋_GB2312" w:cs="Times New Roman"/>
                <w:sz w:val="21"/>
                <w:szCs w:val="21"/>
                <w:lang w:eastAsia="zh-CN"/>
              </w:rPr>
              <w:t>（结合所服务产业选择）或服务乡村振兴的</w:t>
            </w:r>
            <w:r>
              <w:rPr>
                <w:rFonts w:hint="default" w:ascii="Times New Roman" w:hAnsi="Times New Roman" w:eastAsia="仿宋_GB2312" w:cs="Times New Roman"/>
                <w:sz w:val="21"/>
                <w:szCs w:val="21"/>
              </w:rPr>
              <w:t>得10分；按照示范带动作用显著、较显著、一般三档次，分别给予5分、4分、3分。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4A55D9E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45ADC0C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3BDC3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jc w:val="center"/>
        </w:trPr>
        <w:tc>
          <w:tcPr>
            <w:tcW w:w="1310" w:type="dxa"/>
            <w:vMerge w:val="continue"/>
            <w:tcBorders>
              <w:left w:val="single" w:color="000000" w:sz="4" w:space="0"/>
              <w:right w:val="single" w:color="000000" w:sz="4" w:space="0"/>
            </w:tcBorders>
            <w:noWrap w:val="0"/>
            <w:tcMar>
              <w:top w:w="10" w:type="dxa"/>
              <w:left w:w="10" w:type="dxa"/>
              <w:right w:w="10" w:type="dxa"/>
            </w:tcMar>
            <w:vAlign w:val="center"/>
          </w:tcPr>
          <w:p w14:paraId="4FC663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rPr>
            </w:pPr>
          </w:p>
        </w:tc>
        <w:tc>
          <w:tcPr>
            <w:tcW w:w="2261" w:type="dxa"/>
            <w:tcBorders>
              <w:top w:val="nil"/>
              <w:left w:val="nil"/>
              <w:bottom w:val="single" w:color="000000" w:sz="4" w:space="0"/>
              <w:right w:val="single" w:color="000000" w:sz="4" w:space="0"/>
            </w:tcBorders>
            <w:noWrap w:val="0"/>
            <w:tcMar>
              <w:top w:w="10" w:type="dxa"/>
              <w:left w:w="10" w:type="dxa"/>
              <w:right w:w="10" w:type="dxa"/>
            </w:tcMar>
            <w:vAlign w:val="center"/>
          </w:tcPr>
          <w:p w14:paraId="1D7868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服务示范主体（10分）</w:t>
            </w:r>
          </w:p>
        </w:tc>
        <w:tc>
          <w:tcPr>
            <w:tcW w:w="9298" w:type="dxa"/>
            <w:tcBorders>
              <w:top w:val="nil"/>
              <w:left w:val="nil"/>
              <w:bottom w:val="single" w:color="000000" w:sz="4" w:space="0"/>
              <w:right w:val="single" w:color="000000" w:sz="4" w:space="0"/>
            </w:tcBorders>
            <w:noWrap w:val="0"/>
            <w:tcMar>
              <w:top w:w="10" w:type="dxa"/>
              <w:left w:w="10" w:type="dxa"/>
              <w:right w:w="10" w:type="dxa"/>
            </w:tcMar>
            <w:vAlign w:val="center"/>
          </w:tcPr>
          <w:p w14:paraId="6C4469A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w:t>
            </w:r>
            <w:r>
              <w:rPr>
                <w:rFonts w:hint="default" w:ascii="Times New Roman" w:hAnsi="Times New Roman" w:eastAsia="仿宋_GB2312" w:cs="Times New Roman"/>
                <w:sz w:val="21"/>
                <w:szCs w:val="21"/>
                <w:lang w:eastAsia="zh-CN"/>
              </w:rPr>
              <w:t>对接服务</w:t>
            </w:r>
            <w:r>
              <w:rPr>
                <w:rFonts w:hint="default" w:ascii="Times New Roman" w:hAnsi="Times New Roman" w:eastAsia="仿宋_GB2312" w:cs="Times New Roman"/>
                <w:sz w:val="21"/>
                <w:szCs w:val="21"/>
                <w:lang w:val="en-US" w:eastAsia="zh-CN"/>
              </w:rPr>
              <w:t>12</w:t>
            </w:r>
            <w:r>
              <w:rPr>
                <w:rFonts w:hint="default" w:ascii="Times New Roman" w:hAnsi="Times New Roman" w:eastAsia="仿宋_GB2312" w:cs="Times New Roman"/>
                <w:sz w:val="21"/>
                <w:szCs w:val="21"/>
              </w:rPr>
              <w:t>个</w:t>
            </w:r>
            <w:r>
              <w:rPr>
                <w:rFonts w:hint="default" w:ascii="Times New Roman" w:hAnsi="Times New Roman" w:eastAsia="仿宋_GB2312" w:cs="Times New Roman"/>
                <w:sz w:val="21"/>
                <w:szCs w:val="21"/>
                <w:lang w:eastAsia="zh-CN"/>
              </w:rPr>
              <w:t>以上</w:t>
            </w:r>
            <w:r>
              <w:rPr>
                <w:rFonts w:hint="default" w:ascii="Times New Roman" w:hAnsi="Times New Roman" w:eastAsia="仿宋_GB2312" w:cs="Times New Roman"/>
                <w:sz w:val="21"/>
                <w:szCs w:val="21"/>
              </w:rPr>
              <w:t>科技示范主体</w:t>
            </w:r>
            <w:r>
              <w:rPr>
                <w:rFonts w:hint="eastAsia" w:ascii="Times New Roman" w:hAnsi="Times New Roman" w:eastAsia="仿宋_GB2312" w:cs="Times New Roman"/>
                <w:sz w:val="21"/>
                <w:szCs w:val="21"/>
                <w:lang w:eastAsia="zh-CN"/>
              </w:rPr>
              <w:t>的或对接服务示范基地</w:t>
            </w:r>
            <w:r>
              <w:rPr>
                <w:rFonts w:hint="default" w:ascii="Times New Roman" w:hAnsi="Times New Roman" w:eastAsia="仿宋_GB2312" w:cs="Times New Roman"/>
                <w:sz w:val="21"/>
                <w:szCs w:val="21"/>
              </w:rPr>
              <w:t>的得10分；</w:t>
            </w:r>
            <w:r>
              <w:rPr>
                <w:rFonts w:hint="eastAsia" w:ascii="Times New Roman" w:hAnsi="Times New Roman" w:eastAsia="仿宋_GB2312" w:cs="Times New Roman"/>
                <w:sz w:val="21"/>
                <w:szCs w:val="21"/>
                <w:lang w:eastAsia="zh-CN"/>
              </w:rPr>
              <w:t>服务示范主体</w:t>
            </w:r>
            <w:r>
              <w:rPr>
                <w:rFonts w:hint="default" w:ascii="Times New Roman" w:hAnsi="Times New Roman" w:eastAsia="仿宋_GB2312" w:cs="Times New Roman"/>
                <w:sz w:val="21"/>
                <w:szCs w:val="21"/>
              </w:rPr>
              <w:t>每少一个</w:t>
            </w:r>
            <w:r>
              <w:rPr>
                <w:rFonts w:hint="default" w:ascii="Times New Roman" w:hAnsi="Times New Roman" w:eastAsia="仿宋_GB2312" w:cs="Times New Roman"/>
                <w:sz w:val="21"/>
                <w:szCs w:val="21"/>
                <w:lang w:eastAsia="zh-CN"/>
              </w:rPr>
              <w:t>扣</w:t>
            </w:r>
            <w:r>
              <w:rPr>
                <w:rFonts w:hint="default" w:ascii="Times New Roman" w:hAnsi="Times New Roman" w:eastAsia="仿宋_GB2312" w:cs="Times New Roman"/>
                <w:sz w:val="21"/>
                <w:szCs w:val="21"/>
                <w:lang w:val="en-US" w:eastAsia="zh-CN"/>
              </w:rPr>
              <w:t>1</w:t>
            </w:r>
            <w:r>
              <w:rPr>
                <w:rFonts w:hint="default" w:ascii="Times New Roman" w:hAnsi="Times New Roman" w:eastAsia="仿宋_GB2312" w:cs="Times New Roman"/>
                <w:sz w:val="21"/>
                <w:szCs w:val="21"/>
              </w:rPr>
              <w:t>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78598C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3AFCD52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0BA45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6" w:hRule="atLeast"/>
          <w:jc w:val="center"/>
        </w:trPr>
        <w:tc>
          <w:tcPr>
            <w:tcW w:w="1310"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D242B3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rPr>
            </w:pPr>
          </w:p>
        </w:tc>
        <w:tc>
          <w:tcPr>
            <w:tcW w:w="2261" w:type="dxa"/>
            <w:tcBorders>
              <w:top w:val="nil"/>
              <w:left w:val="nil"/>
              <w:bottom w:val="single" w:color="000000" w:sz="4" w:space="0"/>
              <w:right w:val="single" w:color="000000" w:sz="4" w:space="0"/>
            </w:tcBorders>
            <w:noWrap w:val="0"/>
            <w:tcMar>
              <w:top w:w="10" w:type="dxa"/>
              <w:left w:w="10" w:type="dxa"/>
              <w:right w:w="10" w:type="dxa"/>
            </w:tcMar>
            <w:vAlign w:val="center"/>
          </w:tcPr>
          <w:p w14:paraId="49F4E5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服务</w:t>
            </w:r>
            <w:r>
              <w:rPr>
                <w:rFonts w:hint="eastAsia" w:ascii="Times New Roman" w:hAnsi="Times New Roman" w:eastAsia="仿宋_GB2312" w:cs="Times New Roman"/>
                <w:sz w:val="21"/>
                <w:szCs w:val="21"/>
                <w:lang w:eastAsia="zh-CN"/>
              </w:rPr>
              <w:t>建档户</w:t>
            </w:r>
          </w:p>
          <w:p w14:paraId="26707C6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（5分）</w:t>
            </w:r>
          </w:p>
        </w:tc>
        <w:tc>
          <w:tcPr>
            <w:tcW w:w="9298" w:type="dxa"/>
            <w:tcBorders>
              <w:top w:val="nil"/>
              <w:left w:val="nil"/>
              <w:bottom w:val="single" w:color="000000" w:sz="4" w:space="0"/>
              <w:right w:val="single" w:color="000000" w:sz="4" w:space="0"/>
            </w:tcBorders>
            <w:noWrap w:val="0"/>
            <w:tcMar>
              <w:top w:w="10" w:type="dxa"/>
              <w:left w:w="10" w:type="dxa"/>
              <w:right w:w="10" w:type="dxa"/>
            </w:tcMar>
            <w:vAlign w:val="center"/>
          </w:tcPr>
          <w:p w14:paraId="2D57C5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带动2户以上</w:t>
            </w:r>
            <w:r>
              <w:rPr>
                <w:rFonts w:hint="eastAsia" w:ascii="Times New Roman" w:hAnsi="Times New Roman" w:eastAsia="仿宋_GB2312" w:cs="Times New Roman"/>
                <w:sz w:val="21"/>
                <w:szCs w:val="21"/>
                <w:lang w:eastAsia="zh-CN"/>
              </w:rPr>
              <w:t>建档户</w:t>
            </w:r>
            <w:r>
              <w:rPr>
                <w:rFonts w:hint="default" w:ascii="Times New Roman" w:hAnsi="Times New Roman" w:eastAsia="仿宋_GB2312" w:cs="Times New Roman"/>
                <w:sz w:val="21"/>
                <w:szCs w:val="21"/>
              </w:rPr>
              <w:t>掌握农业先进技术，带领</w:t>
            </w:r>
            <w:r>
              <w:rPr>
                <w:rFonts w:hint="eastAsia" w:ascii="Times New Roman" w:hAnsi="Times New Roman" w:eastAsia="仿宋_GB2312" w:cs="Times New Roman"/>
                <w:sz w:val="21"/>
                <w:szCs w:val="21"/>
                <w:lang w:eastAsia="zh-CN"/>
              </w:rPr>
              <w:t>建档户</w:t>
            </w:r>
            <w:r>
              <w:rPr>
                <w:rFonts w:hint="default" w:ascii="Times New Roman" w:hAnsi="Times New Roman" w:eastAsia="仿宋_GB2312" w:cs="Times New Roman"/>
                <w:sz w:val="21"/>
                <w:szCs w:val="21"/>
              </w:rPr>
              <w:t>脱贫增收致富，按成效显著、较显著、一般三个档次，分别给予5分、4分、3分。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3B4E1E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6BA499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79D48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6" w:hRule="atLeast"/>
          <w:jc w:val="center"/>
        </w:trPr>
        <w:tc>
          <w:tcPr>
            <w:tcW w:w="1310" w:type="dxa"/>
            <w:vMerge w:val="restart"/>
            <w:tcBorders>
              <w:top w:val="nil"/>
              <w:left w:val="single" w:color="000000" w:sz="4" w:space="0"/>
              <w:right w:val="single" w:color="000000" w:sz="4" w:space="0"/>
            </w:tcBorders>
            <w:noWrap w:val="0"/>
            <w:tcMar>
              <w:top w:w="10" w:type="dxa"/>
              <w:left w:w="10" w:type="dxa"/>
              <w:right w:w="10" w:type="dxa"/>
            </w:tcMar>
            <w:vAlign w:val="center"/>
          </w:tcPr>
          <w:p w14:paraId="5DFC96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楷体_GB2312" w:hAnsi="楷体_GB2312" w:eastAsia="楷体_GB2312" w:cs="楷体_GB2312"/>
                <w:b w:val="0"/>
                <w:bCs w:val="0"/>
                <w:sz w:val="21"/>
                <w:szCs w:val="21"/>
                <w:lang w:eastAsia="zh-CN"/>
              </w:rPr>
            </w:pPr>
            <w:r>
              <w:rPr>
                <w:rFonts w:hint="eastAsia" w:ascii="楷体_GB2312" w:hAnsi="楷体_GB2312" w:eastAsia="楷体_GB2312" w:cs="楷体_GB2312"/>
                <w:b w:val="0"/>
                <w:bCs w:val="0"/>
                <w:sz w:val="21"/>
                <w:szCs w:val="21"/>
              </w:rPr>
              <w:t>三、服务对象测评（30分）</w:t>
            </w:r>
          </w:p>
        </w:tc>
        <w:tc>
          <w:tcPr>
            <w:tcW w:w="2261" w:type="dxa"/>
            <w:tcBorders>
              <w:top w:val="nil"/>
              <w:left w:val="nil"/>
              <w:bottom w:val="single" w:color="000000" w:sz="4" w:space="0"/>
              <w:right w:val="single" w:color="000000" w:sz="4" w:space="0"/>
            </w:tcBorders>
            <w:noWrap w:val="0"/>
            <w:tcMar>
              <w:top w:w="10" w:type="dxa"/>
              <w:left w:w="10" w:type="dxa"/>
              <w:right w:w="10" w:type="dxa"/>
            </w:tcMar>
            <w:vAlign w:val="center"/>
          </w:tcPr>
          <w:p w14:paraId="08BD36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服务态度</w:t>
            </w:r>
          </w:p>
          <w:p w14:paraId="69F8169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（10分）</w:t>
            </w:r>
          </w:p>
        </w:tc>
        <w:tc>
          <w:tcPr>
            <w:tcW w:w="9298" w:type="dxa"/>
            <w:tcBorders>
              <w:top w:val="nil"/>
              <w:left w:val="nil"/>
              <w:bottom w:val="single" w:color="000000" w:sz="4" w:space="0"/>
              <w:right w:val="single" w:color="000000" w:sz="4" w:space="0"/>
            </w:tcBorders>
            <w:noWrap w:val="0"/>
            <w:tcMar>
              <w:top w:w="10" w:type="dxa"/>
              <w:left w:w="10" w:type="dxa"/>
              <w:right w:w="10" w:type="dxa"/>
            </w:tcMar>
            <w:vAlign w:val="center"/>
          </w:tcPr>
          <w:p w14:paraId="69E1A0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服务态度按满意、较满意、一般的分别给予得10分、8分、6分。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4DF6B4F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568AA9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73A0B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jc w:val="center"/>
        </w:trPr>
        <w:tc>
          <w:tcPr>
            <w:tcW w:w="1310" w:type="dxa"/>
            <w:vMerge w:val="continue"/>
            <w:tcBorders>
              <w:left w:val="single" w:color="000000" w:sz="4" w:space="0"/>
              <w:right w:val="single" w:color="000000" w:sz="4" w:space="0"/>
            </w:tcBorders>
            <w:noWrap w:val="0"/>
            <w:tcMar>
              <w:top w:w="10" w:type="dxa"/>
              <w:left w:w="10" w:type="dxa"/>
              <w:right w:w="10" w:type="dxa"/>
            </w:tcMar>
            <w:vAlign w:val="center"/>
          </w:tcPr>
          <w:p w14:paraId="108FD6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p>
        </w:tc>
        <w:tc>
          <w:tcPr>
            <w:tcW w:w="2261" w:type="dxa"/>
            <w:tcBorders>
              <w:top w:val="nil"/>
              <w:left w:val="nil"/>
              <w:bottom w:val="single" w:color="000000" w:sz="4" w:space="0"/>
              <w:right w:val="single" w:color="000000" w:sz="4" w:space="0"/>
            </w:tcBorders>
            <w:noWrap w:val="0"/>
            <w:tcMar>
              <w:top w:w="10" w:type="dxa"/>
              <w:left w:w="10" w:type="dxa"/>
              <w:right w:w="10" w:type="dxa"/>
            </w:tcMar>
            <w:vAlign w:val="center"/>
          </w:tcPr>
          <w:p w14:paraId="429E5D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技术服务或培训（10分）</w:t>
            </w:r>
          </w:p>
        </w:tc>
        <w:tc>
          <w:tcPr>
            <w:tcW w:w="9298" w:type="dxa"/>
            <w:tcBorders>
              <w:top w:val="nil"/>
              <w:left w:val="nil"/>
              <w:bottom w:val="single" w:color="000000" w:sz="4" w:space="0"/>
              <w:right w:val="single" w:color="000000" w:sz="4" w:space="0"/>
            </w:tcBorders>
            <w:noWrap w:val="0"/>
            <w:tcMar>
              <w:top w:w="10" w:type="dxa"/>
              <w:left w:w="10" w:type="dxa"/>
              <w:right w:w="10" w:type="dxa"/>
            </w:tcMar>
            <w:vAlign w:val="center"/>
          </w:tcPr>
          <w:p w14:paraId="1844A72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42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技术服务或培训效果按照满意、较满意、一般的分别给予10分、8分、6分。</w:t>
            </w:r>
          </w:p>
        </w:tc>
        <w:tc>
          <w:tcPr>
            <w:tcW w:w="1221" w:type="dxa"/>
            <w:tcBorders>
              <w:top w:val="nil"/>
              <w:left w:val="nil"/>
              <w:bottom w:val="single" w:color="000000" w:sz="4" w:space="0"/>
              <w:right w:val="single" w:color="000000" w:sz="4" w:space="0"/>
            </w:tcBorders>
            <w:noWrap w:val="0"/>
            <w:tcMar>
              <w:top w:w="10" w:type="dxa"/>
              <w:left w:w="10" w:type="dxa"/>
              <w:right w:w="10" w:type="dxa"/>
            </w:tcMar>
            <w:vAlign w:val="center"/>
          </w:tcPr>
          <w:p w14:paraId="6D8142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000000" w:sz="4" w:space="0"/>
              <w:right w:val="single" w:color="000000" w:sz="4" w:space="0"/>
            </w:tcBorders>
            <w:noWrap w:val="0"/>
            <w:tcMar>
              <w:top w:w="10" w:type="dxa"/>
              <w:left w:w="10" w:type="dxa"/>
              <w:right w:w="10" w:type="dxa"/>
            </w:tcMar>
            <w:vAlign w:val="center"/>
          </w:tcPr>
          <w:p w14:paraId="77D5658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21426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6" w:hRule="atLeast"/>
          <w:jc w:val="center"/>
        </w:trPr>
        <w:tc>
          <w:tcPr>
            <w:tcW w:w="1310" w:type="dxa"/>
            <w:vMerge w:val="continue"/>
            <w:tcBorders>
              <w:left w:val="single" w:color="000000" w:sz="4" w:space="0"/>
              <w:bottom w:val="single" w:color="auto" w:sz="4" w:space="0"/>
              <w:right w:val="single" w:color="000000" w:sz="4" w:space="0"/>
            </w:tcBorders>
            <w:noWrap w:val="0"/>
            <w:tcMar>
              <w:top w:w="10" w:type="dxa"/>
              <w:left w:w="10" w:type="dxa"/>
              <w:right w:w="10" w:type="dxa"/>
            </w:tcMar>
            <w:vAlign w:val="center"/>
          </w:tcPr>
          <w:p w14:paraId="3002A64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p>
        </w:tc>
        <w:tc>
          <w:tcPr>
            <w:tcW w:w="2261" w:type="dxa"/>
            <w:tcBorders>
              <w:top w:val="nil"/>
              <w:left w:val="nil"/>
              <w:bottom w:val="single" w:color="auto" w:sz="4" w:space="0"/>
              <w:right w:val="single" w:color="000000" w:sz="4" w:space="0"/>
            </w:tcBorders>
            <w:noWrap w:val="0"/>
            <w:tcMar>
              <w:top w:w="10" w:type="dxa"/>
              <w:left w:w="10" w:type="dxa"/>
              <w:right w:w="10" w:type="dxa"/>
            </w:tcMar>
            <w:vAlign w:val="center"/>
          </w:tcPr>
          <w:p w14:paraId="0F31A3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信息咨询</w:t>
            </w:r>
          </w:p>
          <w:p w14:paraId="461A52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（10分）</w:t>
            </w:r>
          </w:p>
        </w:tc>
        <w:tc>
          <w:tcPr>
            <w:tcW w:w="9298" w:type="dxa"/>
            <w:tcBorders>
              <w:top w:val="nil"/>
              <w:left w:val="nil"/>
              <w:bottom w:val="single" w:color="auto" w:sz="4" w:space="0"/>
              <w:right w:val="single" w:color="000000" w:sz="4" w:space="0"/>
            </w:tcBorders>
            <w:noWrap w:val="0"/>
            <w:tcMar>
              <w:top w:w="10" w:type="dxa"/>
              <w:left w:w="10" w:type="dxa"/>
              <w:right w:w="10" w:type="dxa"/>
            </w:tcMar>
            <w:vAlign w:val="center"/>
          </w:tcPr>
          <w:p w14:paraId="0AA0C81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r>
              <w:rPr>
                <w:rFonts w:hint="default"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信息咨询效果按照满意、较满意、一般的分别给予10分、8分、6分。</w:t>
            </w:r>
          </w:p>
        </w:tc>
        <w:tc>
          <w:tcPr>
            <w:tcW w:w="1221" w:type="dxa"/>
            <w:tcBorders>
              <w:top w:val="nil"/>
              <w:left w:val="nil"/>
              <w:bottom w:val="single" w:color="auto" w:sz="4" w:space="0"/>
              <w:right w:val="single" w:color="000000" w:sz="4" w:space="0"/>
            </w:tcBorders>
            <w:noWrap w:val="0"/>
            <w:tcMar>
              <w:top w:w="10" w:type="dxa"/>
              <w:left w:w="10" w:type="dxa"/>
              <w:right w:w="10" w:type="dxa"/>
            </w:tcMar>
            <w:vAlign w:val="center"/>
          </w:tcPr>
          <w:p w14:paraId="419543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c>
          <w:tcPr>
            <w:tcW w:w="1030" w:type="dxa"/>
            <w:tcBorders>
              <w:top w:val="nil"/>
              <w:left w:val="nil"/>
              <w:bottom w:val="single" w:color="auto" w:sz="4" w:space="0"/>
              <w:right w:val="single" w:color="000000" w:sz="4" w:space="0"/>
            </w:tcBorders>
            <w:noWrap w:val="0"/>
            <w:tcMar>
              <w:top w:w="10" w:type="dxa"/>
              <w:left w:w="10" w:type="dxa"/>
              <w:right w:w="10" w:type="dxa"/>
            </w:tcMar>
            <w:vAlign w:val="center"/>
          </w:tcPr>
          <w:p w14:paraId="64DA6A2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Times New Roman" w:hAnsi="Times New Roman" w:eastAsia="仿宋_GB2312" w:cs="Times New Roman"/>
                <w:sz w:val="21"/>
                <w:szCs w:val="21"/>
                <w:lang w:eastAsia="zh-CN"/>
              </w:rPr>
            </w:pPr>
          </w:p>
        </w:tc>
      </w:tr>
      <w:tr w14:paraId="15F6F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310" w:type="dxa"/>
            <w:tcBorders>
              <w:top w:val="single" w:color="auto" w:sz="4" w:space="0"/>
              <w:left w:val="single" w:color="auto" w:sz="4" w:space="0"/>
              <w:bottom w:val="single" w:color="auto" w:sz="4" w:space="0"/>
              <w:right w:val="single" w:color="auto" w:sz="4" w:space="0"/>
            </w:tcBorders>
            <w:shd w:val="clear" w:color="auto" w:fill="FFFFFF"/>
            <w:noWrap w:val="0"/>
            <w:tcMar>
              <w:top w:w="10" w:type="dxa"/>
              <w:left w:w="10" w:type="dxa"/>
              <w:right w:w="10" w:type="dxa"/>
            </w:tcMar>
            <w:vAlign w:val="center"/>
          </w:tcPr>
          <w:p w14:paraId="0051C3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黑体" w:hAnsi="黑体" w:eastAsia="黑体" w:cs="黑体"/>
                <w:b w:val="0"/>
                <w:bCs w:val="0"/>
                <w:sz w:val="21"/>
                <w:szCs w:val="21"/>
              </w:rPr>
            </w:pPr>
            <w:r>
              <w:rPr>
                <w:rFonts w:hint="eastAsia" w:ascii="黑体" w:hAnsi="黑体" w:eastAsia="黑体" w:cs="黑体"/>
                <w:b w:val="0"/>
                <w:bCs w:val="0"/>
                <w:i w:val="0"/>
                <w:iCs w:val="0"/>
                <w:caps w:val="0"/>
                <w:color w:val="333333"/>
                <w:spacing w:val="0"/>
                <w:sz w:val="21"/>
                <w:szCs w:val="21"/>
              </w:rPr>
              <w:t>合计</w:t>
            </w:r>
          </w:p>
        </w:tc>
        <w:tc>
          <w:tcPr>
            <w:tcW w:w="2261" w:type="dxa"/>
            <w:tcBorders>
              <w:top w:val="single" w:color="auto" w:sz="4" w:space="0"/>
              <w:left w:val="single" w:color="auto" w:sz="4" w:space="0"/>
              <w:bottom w:val="single" w:color="auto" w:sz="4" w:space="0"/>
              <w:right w:val="single" w:color="auto" w:sz="4" w:space="0"/>
            </w:tcBorders>
            <w:shd w:val="clear" w:color="auto" w:fill="FFFFFF"/>
            <w:noWrap w:val="0"/>
            <w:tcMar>
              <w:top w:w="10" w:type="dxa"/>
              <w:left w:w="10" w:type="dxa"/>
              <w:right w:w="10" w:type="dxa"/>
            </w:tcMar>
            <w:vAlign w:val="center"/>
          </w:tcPr>
          <w:p w14:paraId="057C5B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黑体" w:hAnsi="黑体" w:eastAsia="黑体" w:cs="黑体"/>
                <w:b w:val="0"/>
                <w:bCs w:val="0"/>
                <w:sz w:val="21"/>
                <w:szCs w:val="21"/>
              </w:rPr>
            </w:pPr>
            <w:r>
              <w:rPr>
                <w:rFonts w:hint="eastAsia" w:ascii="黑体" w:hAnsi="黑体" w:eastAsia="黑体" w:cs="黑体"/>
                <w:b w:val="0"/>
                <w:bCs w:val="0"/>
                <w:i w:val="0"/>
                <w:iCs w:val="0"/>
                <w:caps w:val="0"/>
                <w:color w:val="333333"/>
                <w:spacing w:val="0"/>
                <w:sz w:val="21"/>
                <w:szCs w:val="21"/>
              </w:rPr>
              <w:t>100分</w:t>
            </w:r>
          </w:p>
        </w:tc>
        <w:tc>
          <w:tcPr>
            <w:tcW w:w="9298" w:type="dxa"/>
            <w:tcBorders>
              <w:top w:val="single" w:color="auto" w:sz="4" w:space="0"/>
              <w:left w:val="single" w:color="auto" w:sz="4" w:space="0"/>
              <w:bottom w:val="single" w:color="auto" w:sz="4" w:space="0"/>
              <w:right w:val="single" w:color="auto" w:sz="4" w:space="0"/>
            </w:tcBorders>
            <w:shd w:val="clear" w:color="auto" w:fill="FFFFFF"/>
            <w:noWrap w:val="0"/>
            <w:tcMar>
              <w:top w:w="10" w:type="dxa"/>
              <w:left w:w="10" w:type="dxa"/>
              <w:right w:w="10" w:type="dxa"/>
            </w:tcMar>
            <w:vAlign w:val="center"/>
          </w:tcPr>
          <w:p w14:paraId="4C3AEC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黑体" w:hAnsi="黑体" w:eastAsia="黑体" w:cs="黑体"/>
                <w:b w:val="0"/>
                <w:bCs w:val="0"/>
                <w:sz w:val="21"/>
                <w:szCs w:val="21"/>
              </w:rPr>
            </w:pPr>
            <w:r>
              <w:rPr>
                <w:rFonts w:hint="eastAsia" w:ascii="黑体" w:hAnsi="黑体" w:eastAsia="黑体" w:cs="黑体"/>
                <w:b w:val="0"/>
                <w:bCs w:val="0"/>
                <w:i w:val="0"/>
                <w:iCs w:val="0"/>
                <w:caps w:val="0"/>
                <w:color w:val="333333"/>
                <w:spacing w:val="0"/>
                <w:sz w:val="21"/>
                <w:szCs w:val="21"/>
              </w:rPr>
              <w:t>　</w:t>
            </w:r>
          </w:p>
        </w:tc>
        <w:tc>
          <w:tcPr>
            <w:tcW w:w="1221" w:type="dxa"/>
            <w:tcBorders>
              <w:top w:val="single" w:color="auto" w:sz="4" w:space="0"/>
              <w:left w:val="single" w:color="auto" w:sz="4" w:space="0"/>
              <w:bottom w:val="single" w:color="auto" w:sz="4" w:space="0"/>
              <w:right w:val="single" w:color="auto" w:sz="4" w:space="0"/>
            </w:tcBorders>
            <w:shd w:val="clear" w:color="auto" w:fill="FFFFFF"/>
            <w:noWrap w:val="0"/>
            <w:tcMar>
              <w:top w:w="10" w:type="dxa"/>
              <w:left w:w="10" w:type="dxa"/>
              <w:right w:w="10" w:type="dxa"/>
            </w:tcMar>
            <w:vAlign w:val="center"/>
          </w:tcPr>
          <w:p w14:paraId="0C72665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textAlignment w:val="auto"/>
              <w:rPr>
                <w:rFonts w:hint="eastAsia" w:ascii="黑体" w:hAnsi="黑体" w:eastAsia="黑体" w:cs="黑体"/>
                <w:b w:val="0"/>
                <w:bCs w:val="0"/>
                <w:i w:val="0"/>
                <w:iCs w:val="0"/>
                <w:caps w:val="0"/>
                <w:color w:val="333333"/>
                <w:spacing w:val="0"/>
                <w:sz w:val="21"/>
                <w:szCs w:val="21"/>
                <w:lang w:eastAsia="zh-CN"/>
              </w:rPr>
            </w:pPr>
          </w:p>
        </w:tc>
        <w:tc>
          <w:tcPr>
            <w:tcW w:w="1030" w:type="dxa"/>
            <w:tcBorders>
              <w:top w:val="single" w:color="auto" w:sz="4" w:space="0"/>
              <w:left w:val="single" w:color="auto" w:sz="4" w:space="0"/>
              <w:bottom w:val="single" w:color="auto" w:sz="4" w:space="0"/>
              <w:right w:val="single" w:color="auto" w:sz="4" w:space="0"/>
            </w:tcBorders>
            <w:noWrap w:val="0"/>
            <w:vAlign w:val="center"/>
          </w:tcPr>
          <w:p w14:paraId="05E23CA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b w:val="0"/>
                <w:bCs w:val="0"/>
                <w:sz w:val="21"/>
                <w:szCs w:val="21"/>
              </w:rPr>
            </w:pPr>
          </w:p>
        </w:tc>
      </w:tr>
    </w:tbl>
    <w:p w14:paraId="1B585D6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6B79F">
    <w:pPr>
      <w:pStyle w:val="2"/>
      <w:ind w:right="360"/>
      <w:jc w:val="right"/>
      <w:rPr>
        <w:rFonts w:hint="eastAsia" w:ascii="仿宋_GB2312"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38B104">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- 1 -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438B104">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- 1 -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D76D9">
    <w:pPr>
      <w:pStyle w:val="2"/>
      <w:framePr w:wrap="around" w:vAnchor="text" w:hAnchor="margin" w:xAlign="right" w:y="1"/>
      <w:rPr>
        <w:rStyle w:val="7"/>
      </w:rPr>
    </w:pPr>
    <w:r>
      <w:fldChar w:fldCharType="begin"/>
    </w:r>
    <w:r>
      <w:rPr>
        <w:rStyle w:val="7"/>
      </w:rPr>
      <w:instrText xml:space="preserve">PAGE  </w:instrText>
    </w:r>
    <w:r>
      <w:fldChar w:fldCharType="separate"/>
    </w:r>
    <w:r>
      <w:rPr>
        <w:rStyle w:val="7"/>
      </w:rPr>
      <w:t>- 1 -</w:t>
    </w:r>
    <w:r>
      <w:fldChar w:fldCharType="end"/>
    </w:r>
  </w:p>
  <w:p w14:paraId="0E01CCF8">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08BE4">
    <w:pPr>
      <w:pStyle w:val="3"/>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0F7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page number"/>
    <w:basedOn w:val="6"/>
    <w:uiPriority w:val="0"/>
  </w:style>
  <w:style w:type="paragraph" w:customStyle="1" w:styleId="8">
    <w:name w:val="p0"/>
    <w:basedOn w:val="1"/>
    <w:uiPriority w:val="0"/>
    <w:pPr>
      <w:widowControl/>
      <w:spacing w:line="660" w:lineRule="atLeast"/>
      <w:ind w:left="1"/>
    </w:pPr>
    <w:rPr>
      <w:color w:val="000000"/>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2025-07-21T06:57:21Z</dcterms:created>
  <dc:creator>Administrator</dc:creator>
  <cp:lastModifiedBy>漫</cp:lastModifiedBy>
  <dcterms:modified xsi:type="dcterms:W3CDTF">2025-07-21T06:59:44Z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KSOTemplateDocerSaveRecord">
    <vt:lpwstr>eyJoZGlkIjoiZTQyMWM5NDg5ZTcxYjk2MmNkNjI5NzQ1NjAwZTNiODkiLCJ1c2VySWQiOiI2Mzc4NjU2MTgifQ==</vt:lpwstr>
  </property>
  <property fmtid="{D5CDD505-2E9C-101B-9397-08002B2CF9AE}" pid="4" name="ICV">
    <vt:lpwstr>B45A14FA065B444A85CF4958E753CAB0_12</vt:lpwstr>
  </property>
</Properties>
</file>