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val="0"/>
        <w:spacing w:line="560" w:lineRule="exact"/>
        <w:ind w:left="0" w:leftChars="0"/>
        <w:jc w:val="both"/>
        <w:textAlignment w:val="auto"/>
        <w:rPr>
          <w:rFonts w:hint="eastAsia" w:ascii="黑体" w:hAnsi="黑体" w:eastAsia="黑体" w:cs="黑体"/>
          <w:b w:val="0"/>
          <w:bCs/>
          <w:color w:val="000000"/>
          <w:spacing w:val="0"/>
          <w:sz w:val="32"/>
          <w:szCs w:val="32"/>
          <w:lang w:val="en-US" w:eastAsia="zh-CN"/>
        </w:rPr>
      </w:pPr>
      <w:r>
        <w:rPr>
          <w:rFonts w:hint="eastAsia" w:ascii="黑体" w:hAnsi="黑体" w:eastAsia="黑体" w:cs="黑体"/>
          <w:b w:val="0"/>
          <w:bCs/>
          <w:color w:val="000000"/>
          <w:spacing w:val="0"/>
          <w:sz w:val="32"/>
          <w:szCs w:val="32"/>
          <w:lang w:val="en-US" w:eastAsia="zh-CN"/>
        </w:rPr>
        <w:t>附件6</w:t>
      </w:r>
    </w:p>
    <w:p>
      <w:pPr>
        <w:keepNext w:val="0"/>
        <w:keepLines w:val="0"/>
        <w:pageBreakBefore w:val="0"/>
        <w:widowControl w:val="0"/>
        <w:kinsoku/>
        <w:overflowPunct/>
        <w:topLinePunct w:val="0"/>
        <w:autoSpaceDE/>
        <w:autoSpaceDN/>
        <w:bidi w:val="0"/>
        <w:adjustRightInd/>
        <w:snapToGrid w:val="0"/>
        <w:spacing w:line="560" w:lineRule="exact"/>
        <w:ind w:left="0" w:leftChars="0"/>
        <w:jc w:val="center"/>
        <w:textAlignment w:val="auto"/>
        <w:rPr>
          <w:rFonts w:hint="eastAsia" w:ascii="方正小标宋简体" w:hAnsi="方正小标宋简体" w:eastAsia="方正小标宋简体" w:cs="方正小标宋简体"/>
          <w:b w:val="0"/>
          <w:bCs/>
          <w:color w:val="000000"/>
          <w:spacing w:val="0"/>
          <w:sz w:val="44"/>
          <w:szCs w:val="44"/>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spacing w:val="-11"/>
          <w:sz w:val="44"/>
          <w:szCs w:val="44"/>
          <w:lang w:val="en-US" w:eastAsia="zh-CN"/>
        </w:rPr>
      </w:pPr>
      <w:r>
        <w:rPr>
          <w:rFonts w:hint="eastAsia" w:ascii="方正小标宋简体" w:hAnsi="方正小标宋简体" w:eastAsia="方正小标宋简体" w:cs="方正小标宋简体"/>
          <w:spacing w:val="-11"/>
          <w:sz w:val="44"/>
          <w:szCs w:val="44"/>
          <w:lang w:val="en-US" w:eastAsia="zh-CN"/>
        </w:rPr>
        <w:t>贵州省人事考试新冠肺炎疫情防控告知暨承诺书</w:t>
      </w:r>
    </w:p>
    <w:p>
      <w:pPr>
        <w:pStyle w:val="2"/>
        <w:keepNext w:val="0"/>
        <w:keepLines w:val="0"/>
        <w:pageBreakBefore w:val="0"/>
        <w:widowControl w:val="0"/>
        <w:kinsoku/>
        <w:overflowPunct/>
        <w:topLinePunct w:val="0"/>
        <w:autoSpaceDE/>
        <w:autoSpaceDN/>
        <w:bidi w:val="0"/>
        <w:adjustRightInd/>
        <w:spacing w:after="0" w:line="560" w:lineRule="exact"/>
        <w:ind w:left="0" w:lef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应聘人员应仔细阅读并签署报名系统中的《新冠肺炎疫情防控告知暨承诺书》，承诺已知悉告知事项和防疫要求，自愿承担因不实承诺应承担的相关责任，并接受相应处理。考试全过程，考生应自觉接受工作人员检查，如实报告个人情况，主动出示疫情防控检查所需的健康码绿码、行程卡绿码、核酸检测阴性证明等相应证明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一、疫情防控重要提示</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根据贵州省最新疫情防控要求，对本次考试考生的防疫要求如下：</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（一）不符合国家、省有关疫情防控要求，不遵守有关疫情防控规定的人员不得进入考点参加本次考试。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（二）处于康复或隔离期的病例、无症状感染者、疑似、确诊病例以及无症状感染者的密切接触者不得进入考点参加本次考试。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（三）处于集中隔离、居家健康监测期间的人员不得进入考点参加本次考试。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（四）对流动、出行须报备并提供相应证明材料的人员，未按要求报备或未按要求提供相应证明材料的不得进入考点参加本次考试。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（五）考试当天，经现场医务人员评估有可疑症状且不能排除新冠感染的考生，应配合工作人员按卫生健康部门要求到相应医院就诊，不得进入考点参加本次考试。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（六）考前14天内有中高风险地区旅居史考生，不得进入考点参加本次考试。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（七）考前14天内与本土阳性病例（尚未划定风险等级）活动轨迹有交集人员，不得进入考点参加本次考试。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八）考前14天内有“本土阳性病例报告地级市”旅居史人员，须提供考前5日内间隔24小时的2次核酸检测阴性证明纸质版（其中第2次核酸检测须在考前48小时内在考点所在地级市进行），方可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其余所有考生均须提供考前48小时内1次核酸检测阴性证明纸质版，方可进入考点参加本次考试。考生连续两天参加考试的，提供第一天参加考试的核酸检测阴性证明即可。</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（九）原则上所有考生均须按照“应接尽接、应接必接”的要求完成新冠疫苗全程接种及加强免疫。</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（十）考生应自备一次性使用医用口罩。考试期间，考生应全程规范佩戴一次性使用医用口罩。未按要求佩戴口罩的考生，不得进入考点参加本次考试。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一）各科目开考前100分钟，考生即可开始接受检测进入考点，但不能进入考场。考生应尽早到达考点，在考点入场检测处，要提前准备好当天本人“贵州健康码、国家通信行程卡”绿码和核酸检测阴性证明等相关材料，到相应检测通道做好入场检测准备，确保入场检测时间充足、秩序良好。不符合入场检测规定的考生，不得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二）多科目考试的，上一科目考试结束后，外出重新进入考点人员，须佩戴一次性使用医用口罩再次接受入场检测。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三）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四）为确保顺利参加考试，建议考生提前预约核酸检测、提前进行自我健康状况监测和“贵州健康码、国家通信行程卡”绿码核验。若贵州健康码与本人状况不符，请立即咨询并及时按要求处置。贵州健康码使用咨询电话：12345政府服务热线。</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二、考生入场检测规定</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符合以上疫情防控要求的考生，须经入场检测合格方可进入考点参加本次考试。考生入场检测时和进入考点后，均须保持安全距离，不得扎堆聚集。考生须同时符合以下全部检测要求，方可进入考点参加本次考试：</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（一）考试当天本人“贵州健康码、国家通信行程卡”绿码；</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（二）经检测体温正常（低于37.3℃）；</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（三）佩戴一次性使用医用口罩；</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（四）提供相应核酸检测阴性证明纸质版（医院出具的纸质证明或电子证明的打印件均可）。</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1.考前14天内有“本土阳性病例报告地级市”旅居史人员，须提供考前5日内间隔24小时的2次核酸检测阴性证明，其中第2次核酸检测须在考前48小时内在考点所在地级市进行。</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2.其余考生须提供考前48小时内1次核酸检测阴性证明。</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三、考生入场检测步骤</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考生须佩戴一次性使用医用口罩提前到达检测点排队，入场检测通道分别设置特殊检测通道和常规检测通道两类。</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楷体_GB2312" w:hAnsi="楷体_GB2312" w:eastAsia="楷体_GB2312" w:cs="楷体_GB2312"/>
          <w:spacing w:val="0"/>
          <w:sz w:val="32"/>
          <w:szCs w:val="32"/>
          <w:lang w:val="en-US" w:eastAsia="zh-CN"/>
        </w:rPr>
      </w:pPr>
      <w:r>
        <w:rPr>
          <w:rFonts w:hint="eastAsia" w:ascii="楷体_GB2312" w:hAnsi="楷体_GB2312" w:eastAsia="楷体_GB2312" w:cs="楷体_GB2312"/>
          <w:spacing w:val="0"/>
          <w:sz w:val="32"/>
          <w:szCs w:val="32"/>
          <w:lang w:val="en-US" w:eastAsia="zh-CN"/>
        </w:rPr>
        <w:t>（一）特殊检测通道</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考前14天内有“本土阳性病例报告地级市”旅居史人员进入特殊检测通道。具体检测步骤如下：</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生到特殊检测通道提交考试当天本人“贵州健康码、国家通信行程卡”绿码、“考前5日内间隔24小时的2次核酸检测阴性证明纸质版”、《准考证》等相应证明材料报检测人员核验并接受体温检测。经检测合格的，检测人员在《准考证》上加盖入场检测合格章。</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楷体_GB2312" w:hAnsi="楷体_GB2312" w:eastAsia="楷体_GB2312" w:cs="楷体_GB2312"/>
          <w:spacing w:val="0"/>
          <w:sz w:val="32"/>
          <w:szCs w:val="32"/>
          <w:lang w:val="en-US" w:eastAsia="zh-CN"/>
        </w:rPr>
      </w:pPr>
      <w:r>
        <w:rPr>
          <w:rFonts w:hint="eastAsia" w:ascii="楷体_GB2312" w:hAnsi="楷体_GB2312" w:eastAsia="楷体_GB2312" w:cs="楷体_GB2312"/>
          <w:spacing w:val="0"/>
          <w:sz w:val="32"/>
          <w:szCs w:val="32"/>
          <w:lang w:val="en-US" w:eastAsia="zh-CN"/>
        </w:rPr>
        <w:t>（二）常规检测通道</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考前14天内无“本土阳性病例报告地级市”旅居史人员进入常规检测通道，常规检测通道分两步进行检测，具体检测步骤如下：</w:t>
      </w:r>
    </w:p>
    <w:p>
      <w:pPr>
        <w:keepNext w:val="0"/>
        <w:keepLines w:val="0"/>
        <w:pageBreakBefore w:val="0"/>
        <w:widowControl w:val="0"/>
        <w:kinsoku/>
        <w:wordWrap/>
        <w:overflowPunct/>
        <w:topLinePunct w:val="0"/>
        <w:autoSpaceDE/>
        <w:autoSpaceDN/>
        <w:bidi w:val="0"/>
        <w:adjustRightInd/>
        <w:spacing w:line="560" w:lineRule="exact"/>
        <w:ind w:left="0" w:leftChars="0" w:firstLine="643" w:firstLineChars="200"/>
        <w:textAlignment w:val="auto"/>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1.第一步检测</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考生须提前准备好考试当天本人“贵州健康码绿码”和《准考证》报检测人员核验并接受体温检测。</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经第一步检测合格的，迅速前往第二步检测点。</w:t>
      </w:r>
    </w:p>
    <w:p>
      <w:pPr>
        <w:keepNext w:val="0"/>
        <w:keepLines w:val="0"/>
        <w:pageBreakBefore w:val="0"/>
        <w:widowControl w:val="0"/>
        <w:kinsoku/>
        <w:wordWrap/>
        <w:overflowPunct/>
        <w:topLinePunct w:val="0"/>
        <w:autoSpaceDE/>
        <w:autoSpaceDN/>
        <w:bidi w:val="0"/>
        <w:adjustRightInd/>
        <w:spacing w:line="560" w:lineRule="exact"/>
        <w:ind w:left="0" w:leftChars="0" w:firstLine="643" w:firstLineChars="200"/>
        <w:textAlignment w:val="auto"/>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2.第二步检测</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生前往第二步检测点过程中须提前准备好考试当天本人“国家通信行程卡绿码”、“考前48小时内1次核酸检测阴性证明纸质版”和《准考证》报检测人员核验。“国家通信行程卡”可通过在“贵州健康码”下方点击“通信大数据行程卡”直接转入，或通过扫码打开。</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经第二步检测合格的，检测人员在《准考证》上加盖入场检测合格章。</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楷体_GB2312" w:hAnsi="楷体_GB2312" w:eastAsia="楷体_GB2312" w:cs="楷体_GB2312"/>
          <w:spacing w:val="0"/>
          <w:sz w:val="32"/>
          <w:szCs w:val="32"/>
          <w:lang w:val="en-US" w:eastAsia="zh-CN"/>
        </w:rPr>
      </w:pPr>
      <w:r>
        <w:rPr>
          <w:rFonts w:hint="eastAsia" w:ascii="楷体_GB2312" w:hAnsi="楷体_GB2312" w:eastAsia="楷体_GB2312" w:cs="楷体_GB2312"/>
          <w:spacing w:val="0"/>
          <w:sz w:val="32"/>
          <w:szCs w:val="32"/>
          <w:lang w:val="en-US" w:eastAsia="zh-CN"/>
        </w:rPr>
        <w:t>（三）临时隔离检查点</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符合其他疫情防控要求，但体温≥37.3℃的考生，须立即进入临时隔离检查点，间隔15分钟后，由现场医务人员使用水银体温计进行体温复测，经复测体温正常（低于37.3℃）的，可以参加本次考试。经复测体温仍≥37.3℃的，不得进入考点参加本次考试。</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四、注意事项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（一）《贵州省2021年下半年人事考试新冠肺炎疫情防控要求（第二版）》停止使用。</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本人已认真阅读《贵州省人事考试新冠肺炎疫情防控告知暨承诺书》，知悉告知事项、证明义务和防疫要求。在此郑重承诺：本人符合新冠肺炎疫情防控要求中规定的可参加考试的情形，本人填报、提交和现场出示的所有信息（证明）均真实、准确、完整、有效，符合疫情防控相关要求，并自愿承担因不实承诺应承担的相关责任、接受相应处理。</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spacing w:val="0"/>
          <w:sz w:val="32"/>
          <w:szCs w:val="32"/>
          <w:lang w:val="en-US" w:eastAsia="zh-CN"/>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pacing w:val="0"/>
          <w:sz w:val="32"/>
          <w:szCs w:val="32"/>
          <w:lang w:val="en-US" w:eastAsia="zh-CN"/>
        </w:rPr>
      </w:pPr>
    </w:p>
    <w:p>
      <w:pPr>
        <w:keepNext w:val="0"/>
        <w:keepLines w:val="0"/>
        <w:pageBreakBefore w:val="0"/>
        <w:widowControl w:val="0"/>
        <w:kinsoku/>
        <w:wordWrap w:val="0"/>
        <w:overflowPunct/>
        <w:topLinePunct w:val="0"/>
        <w:autoSpaceDE/>
        <w:autoSpaceDN/>
        <w:bidi w:val="0"/>
        <w:adjustRightInd/>
        <w:spacing w:line="560" w:lineRule="exact"/>
        <w:ind w:left="0" w:leftChars="0" w:firstLine="640" w:firstLineChars="200"/>
        <w:jc w:val="center"/>
        <w:textAlignment w:val="auto"/>
      </w:pPr>
      <w:r>
        <w:rPr>
          <w:rFonts w:hint="eastAsia" w:ascii="仿宋_GB2312" w:hAnsi="仿宋_GB2312" w:eastAsia="仿宋_GB2312" w:cs="仿宋_GB2312"/>
          <w:spacing w:val="0"/>
          <w:sz w:val="32"/>
          <w:szCs w:val="32"/>
          <w:lang w:val="en-US" w:eastAsia="zh-CN"/>
        </w:rPr>
        <w:t xml:space="preserve">                             承诺人：                                       </w:t>
      </w:r>
      <w:bookmarkStart w:id="0" w:name="_GoBack"/>
      <w:bookmarkEnd w:id="0"/>
      <w:r>
        <w:rPr>
          <w:rFonts w:hint="eastAsia" w:ascii="仿宋_GB2312" w:hAnsi="仿宋_GB2312" w:eastAsia="仿宋_GB2312" w:cs="仿宋_GB2312"/>
          <w:spacing w:val="0"/>
          <w:sz w:val="32"/>
          <w:szCs w:val="32"/>
          <w:lang w:val="en-US" w:eastAsia="zh-CN"/>
        </w:rPr>
        <w:t xml:space="preserve">2021年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1B0C90"/>
    <w:rsid w:val="0B1B0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列表接续 21"/>
    <w:basedOn w:val="1"/>
    <w:qFormat/>
    <w:uiPriority w:val="0"/>
    <w:pPr>
      <w:spacing w:after="120"/>
      <w:ind w:left="840" w:leftChars="4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2021-12-01T08:33:00Z</dcterms:created>
  <dc:creator>Lenovo</dc:creator>
  <cp:lastModifiedBy>Lenovo</cp:lastModifiedBy>
  <dcterms:modified xsi:type="dcterms:W3CDTF">2021-12-01T08:34:38Z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