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156" w:afterLines="50" w:afterAutospacing="0" w:line="520" w:lineRule="exact"/>
        <w:jc w:val="center"/>
        <w:rPr>
          <w:rFonts w:hint="eastAsia" w:ascii="方正小标宋_GBK" w:hAnsi="宋体" w:eastAsia="方正小标宋_GBK" w:cs="宋体"/>
          <w:b/>
          <w:color w:val="000000"/>
          <w:w w:val="95"/>
          <w:sz w:val="36"/>
          <w:szCs w:val="36"/>
        </w:rPr>
      </w:pPr>
      <w:r>
        <w:rPr>
          <w:rFonts w:hint="eastAsia" w:ascii="方正小标宋_GBK" w:hAnsi="黑体" w:eastAsia="方正小标宋_GBK" w:cs="黑体"/>
          <w:color w:val="333333"/>
          <w:sz w:val="36"/>
          <w:szCs w:val="36"/>
          <w:shd w:val="clear" w:color="auto" w:fill="FFFFFF"/>
        </w:rPr>
        <w:t>黔东南民族职业技术学院编制外合同聘用人员报名表</w:t>
      </w:r>
    </w:p>
    <w:tbl>
      <w:tblPr>
        <w:tblStyle w:val="4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1334"/>
        <w:gridCol w:w="1076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2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0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原工作单位</w:t>
            </w:r>
          </w:p>
        </w:tc>
        <w:tc>
          <w:tcPr>
            <w:tcW w:w="7859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职称（专业技术职务）及获得时间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职业技能等级证书及获得时间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具有何种执（从）业资格证书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执（从）业资格证书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获得时间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是否缴纳社保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社保帐号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410" w:type="dxa"/>
            <w:gridSpan w:val="2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3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8"/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（从高中或初中开始连续填写至今）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8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828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ind w:firstLine="4080" w:firstLineChars="17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righ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　　　　月　　　　日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18" w:right="1191" w:bottom="56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01266F31"/>
    <w:rsid w:val="0126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2023-12-20T02:54:00Z</dcterms:created>
  <dc:creator>紫臆</dc:creator>
  <cp:lastModifiedBy>紫臆</cp:lastModifiedBy>
  <dcterms:modified xsi:type="dcterms:W3CDTF">2023-12-20T02:54:59Z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81B4E57D285C4A998B74AA962291CE51_11</vt:lpwstr>
  </property>
</Properties>
</file>