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C894C">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剑河县</w:t>
      </w:r>
      <w:r>
        <w:rPr>
          <w:rFonts w:hint="eastAsia" w:ascii="方正小标宋简体" w:hAnsi="方正小标宋简体" w:eastAsia="方正小标宋简体" w:cs="方正小标宋简体"/>
          <w:b w:val="0"/>
          <w:bCs/>
          <w:sz w:val="44"/>
          <w:szCs w:val="44"/>
          <w:lang w:eastAsia="zh-CN"/>
        </w:rPr>
        <w:t>202</w:t>
      </w:r>
      <w:r>
        <w:rPr>
          <w:rFonts w:hint="eastAsia" w:ascii="方正小标宋简体" w:hAnsi="方正小标宋简体" w:eastAsia="方正小标宋简体" w:cs="方正小标宋简体"/>
          <w:b w:val="0"/>
          <w:bCs/>
          <w:sz w:val="44"/>
          <w:szCs w:val="44"/>
          <w:lang w:val="en-US" w:eastAsia="zh-CN"/>
        </w:rPr>
        <w:t>5</w:t>
      </w:r>
      <w:r>
        <w:rPr>
          <w:rFonts w:hint="eastAsia" w:ascii="方正小标宋简体" w:hAnsi="方正小标宋简体" w:eastAsia="方正小标宋简体" w:cs="方正小标宋简体"/>
          <w:b w:val="0"/>
          <w:bCs/>
          <w:sz w:val="44"/>
          <w:szCs w:val="44"/>
        </w:rPr>
        <w:t>年基层农技推广体系改革和建设补助项目特聘农技员</w:t>
      </w:r>
      <w:r>
        <w:rPr>
          <w:rFonts w:hint="eastAsia" w:ascii="方正小标宋简体" w:hAnsi="方正小标宋简体" w:eastAsia="方正小标宋简体" w:cs="方正小标宋简体"/>
          <w:b w:val="0"/>
          <w:bCs/>
          <w:sz w:val="44"/>
          <w:szCs w:val="44"/>
          <w:lang w:val="en-US" w:eastAsia="zh-CN"/>
        </w:rPr>
        <w:t>考评管理</w:t>
      </w:r>
      <w:r>
        <w:rPr>
          <w:rFonts w:hint="eastAsia" w:ascii="方正小标宋简体" w:hAnsi="方正小标宋简体" w:eastAsia="方正小标宋简体" w:cs="方正小标宋简体"/>
          <w:b w:val="0"/>
          <w:bCs/>
          <w:sz w:val="44"/>
          <w:szCs w:val="44"/>
        </w:rPr>
        <w:t>办法</w:t>
      </w:r>
    </w:p>
    <w:p w14:paraId="34E35FE2">
      <w:pPr>
        <w:keepNext w:val="0"/>
        <w:keepLines w:val="0"/>
        <w:pageBreakBefore w:val="0"/>
        <w:widowControl w:val="0"/>
        <w:kinsoku/>
        <w:wordWrap/>
        <w:overflowPunct/>
        <w:topLinePunct w:val="0"/>
        <w:autoSpaceDE/>
        <w:autoSpaceDN/>
        <w:bidi w:val="0"/>
        <w:adjustRightInd/>
        <w:snapToGrid/>
        <w:spacing w:line="640" w:lineRule="exact"/>
        <w:ind w:firstLine="880" w:firstLineChars="200"/>
        <w:jc w:val="both"/>
        <w:textAlignment w:val="auto"/>
        <w:rPr>
          <w:rFonts w:hint="eastAsia" w:ascii="仿宋_GB2312" w:hAnsi="仿宋_GB2312" w:eastAsia="仿宋_GB2312" w:cs="仿宋_GB2312"/>
          <w:sz w:val="44"/>
          <w:szCs w:val="44"/>
        </w:rPr>
      </w:pPr>
    </w:p>
    <w:p w14:paraId="6B26DB8A">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为客观准确</w:t>
      </w:r>
      <w:bookmarkStart w:id="0" w:name="_GoBack"/>
      <w:r>
        <w:rPr>
          <w:rFonts w:hint="eastAsia" w:ascii="仿宋_GB2312" w:hAnsi="仿宋_GB2312" w:eastAsia="仿宋_GB2312" w:cs="仿宋_GB2312"/>
          <w:sz w:val="32"/>
          <w:szCs w:val="32"/>
          <w:lang w:val="en-US" w:eastAsia="zh-CN"/>
        </w:rPr>
        <w:t>的</w:t>
      </w:r>
      <w:bookmarkEnd w:id="0"/>
      <w:r>
        <w:rPr>
          <w:rFonts w:hint="eastAsia" w:ascii="仿宋_GB2312" w:hAnsi="仿宋_GB2312" w:eastAsia="仿宋_GB2312" w:cs="仿宋_GB2312"/>
          <w:sz w:val="32"/>
          <w:szCs w:val="32"/>
          <w:lang w:val="en-US" w:eastAsia="zh-CN"/>
        </w:rPr>
        <w:t>评价特聘农技员的工作绩效，强化监督管理，进一步增强特聘农技人员的事业心和责任感，切实提高服务质量和工作效能，特制定本考评办法。</w:t>
      </w:r>
    </w:p>
    <w:p w14:paraId="141082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一、考评对象</w:t>
      </w:r>
    </w:p>
    <w:p w14:paraId="116BFD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2025年度聘请的</w:t>
      </w:r>
      <w:r>
        <w:rPr>
          <w:rFonts w:hint="eastAsia" w:ascii="仿宋_GB2312" w:hAnsi="仿宋_GB2312" w:eastAsia="仿宋_GB2312" w:cs="仿宋_GB2312"/>
          <w:sz w:val="32"/>
          <w:szCs w:val="32"/>
        </w:rPr>
        <w:t>特聘农技员</w:t>
      </w:r>
      <w:r>
        <w:rPr>
          <w:rFonts w:hint="eastAsia" w:ascii="仿宋_GB2312" w:hAnsi="仿宋_GB2312" w:eastAsia="仿宋_GB2312" w:cs="仿宋_GB2312"/>
          <w:sz w:val="32"/>
          <w:szCs w:val="32"/>
          <w:lang w:eastAsia="zh-CN"/>
        </w:rPr>
        <w:t>。</w:t>
      </w:r>
    </w:p>
    <w:p w14:paraId="31E2C4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二、考评方式</w:t>
      </w:r>
    </w:p>
    <w:p w14:paraId="0BD581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材料送审、现场抽查、县级考评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分半年考评和年度考评</w:t>
      </w:r>
      <w:r>
        <w:rPr>
          <w:rFonts w:hint="eastAsia" w:ascii="仿宋_GB2312" w:hAnsi="仿宋_GB2312" w:eastAsia="仿宋_GB2312" w:cs="仿宋_GB2312"/>
          <w:sz w:val="32"/>
          <w:szCs w:val="32"/>
        </w:rPr>
        <w:t>。</w:t>
      </w:r>
    </w:p>
    <w:p w14:paraId="6F0A88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三、考评内容</w:t>
      </w:r>
    </w:p>
    <w:p w14:paraId="16189D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考评主要分为</w:t>
      </w:r>
      <w:r>
        <w:rPr>
          <w:rFonts w:hint="eastAsia" w:ascii="仿宋_GB2312" w:hAnsi="仿宋_GB2312" w:eastAsia="仿宋_GB2312" w:cs="仿宋_GB2312"/>
          <w:b w:val="0"/>
          <w:bCs w:val="0"/>
          <w:sz w:val="32"/>
          <w:szCs w:val="32"/>
        </w:rPr>
        <w:t>综合考评、业务考评</w:t>
      </w:r>
      <w:r>
        <w:rPr>
          <w:rFonts w:hint="eastAsia" w:ascii="仿宋_GB2312" w:hAnsi="仿宋_GB2312" w:eastAsia="仿宋_GB2312" w:cs="仿宋_GB2312"/>
          <w:b w:val="0"/>
          <w:bCs w:val="0"/>
          <w:sz w:val="32"/>
          <w:szCs w:val="32"/>
          <w:lang w:val="en-US" w:eastAsia="zh-CN"/>
        </w:rPr>
        <w:t>和</w:t>
      </w:r>
      <w:r>
        <w:rPr>
          <w:rFonts w:hint="eastAsia" w:ascii="仿宋_GB2312" w:hAnsi="仿宋_GB2312" w:eastAsia="仿宋_GB2312" w:cs="仿宋_GB2312"/>
          <w:b w:val="0"/>
          <w:bCs w:val="0"/>
          <w:sz w:val="32"/>
          <w:szCs w:val="32"/>
        </w:rPr>
        <w:t>服务对象考评3项内容完成情况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考评实行百分制。</w:t>
      </w:r>
    </w:p>
    <w:p w14:paraId="45AEDC3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（一）综合考评</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40分</w:t>
      </w:r>
      <w:r>
        <w:rPr>
          <w:rFonts w:hint="eastAsia" w:ascii="楷体_GB2312" w:hAnsi="楷体_GB2312" w:eastAsia="楷体_GB2312" w:cs="楷体_GB2312"/>
          <w:b/>
          <w:bCs/>
          <w:sz w:val="32"/>
          <w:szCs w:val="32"/>
          <w:lang w:eastAsia="zh-CN"/>
        </w:rPr>
        <w:t>）</w:t>
      </w:r>
    </w:p>
    <w:p w14:paraId="38001C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主要对特聘农技员的德、能、勤、绩进行综合考评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具体考评内容如下：</w:t>
      </w:r>
    </w:p>
    <w:p w14:paraId="7FD67FA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1.德（5分）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主要考评特聘农技员在服务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val="en-US" w:eastAsia="zh-CN"/>
        </w:rPr>
        <w:t>中的</w:t>
      </w:r>
      <w:r>
        <w:rPr>
          <w:rFonts w:hint="eastAsia" w:ascii="仿宋_GB2312" w:hAnsi="仿宋_GB2312" w:eastAsia="仿宋_GB2312" w:cs="仿宋_GB2312"/>
          <w:sz w:val="32"/>
          <w:szCs w:val="32"/>
        </w:rPr>
        <w:t>职业道德、服务意识、责任</w:t>
      </w:r>
      <w:r>
        <w:rPr>
          <w:rFonts w:hint="eastAsia" w:ascii="仿宋_GB2312" w:hAnsi="仿宋_GB2312" w:eastAsia="仿宋_GB2312" w:cs="仿宋_GB2312"/>
          <w:sz w:val="32"/>
          <w:szCs w:val="32"/>
          <w:lang w:val="en-US" w:eastAsia="zh-CN"/>
        </w:rPr>
        <w:t>能力</w:t>
      </w:r>
      <w:r>
        <w:rPr>
          <w:rFonts w:hint="eastAsia" w:ascii="仿宋_GB2312" w:hAnsi="仿宋_GB2312" w:eastAsia="仿宋_GB2312" w:cs="仿宋_GB2312"/>
          <w:sz w:val="32"/>
          <w:szCs w:val="32"/>
        </w:rPr>
        <w:t>等方面，</w:t>
      </w:r>
      <w:r>
        <w:rPr>
          <w:rFonts w:hint="eastAsia" w:ascii="仿宋_GB2312" w:hAnsi="仿宋_GB2312" w:eastAsia="仿宋_GB2312" w:cs="仿宋_GB2312"/>
          <w:b w:val="0"/>
          <w:bCs w:val="0"/>
          <w:sz w:val="32"/>
          <w:szCs w:val="32"/>
          <w:lang w:val="en-US" w:eastAsia="zh-CN"/>
        </w:rPr>
        <w:t>评定为“好”“较好”“一般”三个档次</w:t>
      </w:r>
      <w:r>
        <w:rPr>
          <w:rFonts w:hint="eastAsia" w:ascii="仿宋_GB2312" w:hAnsi="仿宋_GB2312" w:eastAsia="仿宋_GB2312" w:cs="仿宋_GB2312"/>
          <w:sz w:val="32"/>
          <w:szCs w:val="32"/>
        </w:rPr>
        <w:t>，分别给予</w:t>
      </w:r>
      <w:r>
        <w:rPr>
          <w:rFonts w:hint="eastAsia" w:ascii="仿宋_GB2312" w:hAnsi="仿宋_GB2312" w:eastAsia="仿宋_GB2312" w:cs="仿宋_GB2312"/>
          <w:b/>
          <w:bCs/>
          <w:sz w:val="32"/>
          <w:szCs w:val="32"/>
        </w:rPr>
        <w:t>5分、4分、3分</w:t>
      </w:r>
      <w:r>
        <w:rPr>
          <w:rFonts w:hint="eastAsia" w:ascii="仿宋_GB2312" w:hAnsi="仿宋_GB2312" w:eastAsia="仿宋_GB2312" w:cs="仿宋_GB2312"/>
          <w:sz w:val="32"/>
          <w:szCs w:val="32"/>
          <w:lang w:eastAsia="zh-CN"/>
        </w:rPr>
        <w:t>。</w:t>
      </w:r>
    </w:p>
    <w:p w14:paraId="4377AFA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2.能（10分）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制定年度技术指导服务计划得1分，否则不得分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积极</w:t>
      </w:r>
      <w:r>
        <w:rPr>
          <w:rFonts w:hint="eastAsia" w:ascii="仿宋_GB2312" w:hAnsi="仿宋_GB2312" w:eastAsia="仿宋_GB2312" w:cs="仿宋_GB2312"/>
          <w:sz w:val="32"/>
          <w:szCs w:val="32"/>
        </w:rPr>
        <w:t>开展农技推广服务得2分，否则不得分；帮助农户解决一项技术问题得1分，封顶5分；</w:t>
      </w:r>
      <w:r>
        <w:rPr>
          <w:rFonts w:hint="eastAsia" w:ascii="仿宋_GB2312" w:hAnsi="仿宋_GB2312" w:eastAsia="仿宋_GB2312" w:cs="仿宋_GB2312"/>
          <w:sz w:val="32"/>
          <w:szCs w:val="32"/>
          <w:lang w:val="en-US" w:eastAsia="zh-CN"/>
        </w:rPr>
        <w:t>聘期内</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技术培训（室内培训或现场培训）不少于2次得2分，每少1次扣1分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w:t>
      </w:r>
    </w:p>
    <w:p w14:paraId="40435D1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3.勤（</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0分）</w:t>
      </w:r>
      <w:r>
        <w:rPr>
          <w:rFonts w:hint="eastAsia" w:ascii="仿宋_GB2312" w:hAnsi="仿宋_GB2312" w:eastAsia="仿宋_GB2312" w:cs="仿宋_GB2312"/>
          <w:b/>
          <w:bCs/>
          <w:sz w:val="32"/>
          <w:szCs w:val="32"/>
          <w:lang w:eastAsia="zh-CN"/>
        </w:rPr>
        <w:t>。</w:t>
      </w:r>
      <w:r>
        <w:rPr>
          <w:rFonts w:hint="eastAsia" w:ascii="黑体" w:hAnsi="黑体" w:eastAsia="黑体" w:cs="黑体"/>
          <w:b w:val="0"/>
          <w:bCs w:val="0"/>
          <w:sz w:val="32"/>
          <w:szCs w:val="32"/>
          <w:lang w:val="en-US" w:eastAsia="zh-CN"/>
        </w:rPr>
        <w:t>一是</w:t>
      </w:r>
      <w:r>
        <w:rPr>
          <w:rFonts w:hint="eastAsia" w:ascii="仿宋_GB2312" w:hAnsi="仿宋_GB2312" w:eastAsia="仿宋_GB2312" w:cs="仿宋_GB2312"/>
          <w:b w:val="0"/>
          <w:bCs w:val="0"/>
          <w:sz w:val="32"/>
          <w:szCs w:val="32"/>
          <w:lang w:val="en-US" w:eastAsia="zh-CN"/>
        </w:rPr>
        <w:t>科研教学单位一线服务人员、“三支一扶”计划中涉农毕业生、</w:t>
      </w:r>
      <w:r>
        <w:rPr>
          <w:rFonts w:hint="eastAsia" w:ascii="仿宋_GB2312" w:hAnsi="仿宋_GB2312" w:eastAsia="仿宋_GB2312" w:cs="仿宋_GB2312"/>
          <w:b w:val="0"/>
          <w:bCs w:val="0"/>
          <w:sz w:val="32"/>
          <w:szCs w:val="32"/>
        </w:rPr>
        <w:t>已退休</w:t>
      </w:r>
      <w:r>
        <w:rPr>
          <w:rFonts w:hint="eastAsia" w:ascii="仿宋_GB2312" w:hAnsi="仿宋_GB2312" w:eastAsia="仿宋_GB2312" w:cs="仿宋_GB2312"/>
          <w:b w:val="0"/>
          <w:bCs w:val="0"/>
          <w:sz w:val="32"/>
          <w:szCs w:val="32"/>
          <w:lang w:val="en-US" w:eastAsia="zh-CN"/>
        </w:rPr>
        <w:t>不超过3年</w:t>
      </w:r>
      <w:r>
        <w:rPr>
          <w:rFonts w:hint="eastAsia" w:ascii="仿宋_GB2312" w:hAnsi="仿宋_GB2312" w:eastAsia="仿宋_GB2312" w:cs="仿宋_GB2312"/>
          <w:b w:val="0"/>
          <w:bCs w:val="0"/>
          <w:sz w:val="32"/>
          <w:szCs w:val="32"/>
        </w:rPr>
        <w:t>的</w:t>
      </w:r>
      <w:r>
        <w:rPr>
          <w:rFonts w:hint="eastAsia" w:ascii="仿宋_GB2312" w:hAnsi="仿宋_GB2312" w:eastAsia="仿宋_GB2312" w:cs="仿宋_GB2312"/>
          <w:b w:val="0"/>
          <w:bCs w:val="0"/>
          <w:sz w:val="32"/>
          <w:szCs w:val="32"/>
          <w:lang w:eastAsia="zh-CN"/>
        </w:rPr>
        <w:t>中级以上</w:t>
      </w:r>
      <w:r>
        <w:rPr>
          <w:rFonts w:hint="eastAsia" w:ascii="仿宋_GB2312" w:hAnsi="仿宋_GB2312" w:eastAsia="仿宋_GB2312" w:cs="仿宋_GB2312"/>
          <w:b w:val="0"/>
          <w:bCs w:val="0"/>
          <w:sz w:val="32"/>
          <w:szCs w:val="32"/>
        </w:rPr>
        <w:t>职称农业专家</w:t>
      </w:r>
      <w:r>
        <w:rPr>
          <w:rFonts w:hint="eastAsia" w:ascii="仿宋_GB2312" w:hAnsi="仿宋_GB2312" w:eastAsia="仿宋_GB2312" w:cs="仿宋_GB2312"/>
          <w:b w:val="0"/>
          <w:bCs w:val="0"/>
          <w:sz w:val="32"/>
          <w:szCs w:val="32"/>
          <w:lang w:val="en-US" w:eastAsia="zh-CN"/>
        </w:rPr>
        <w:t>聘期内</w:t>
      </w:r>
      <w:r>
        <w:rPr>
          <w:rFonts w:hint="eastAsia" w:ascii="仿宋_GB2312" w:hAnsi="仿宋_GB2312" w:eastAsia="仿宋_GB2312" w:cs="仿宋_GB2312"/>
          <w:b/>
          <w:bCs/>
          <w:sz w:val="32"/>
          <w:szCs w:val="32"/>
          <w:lang w:val="en-US" w:eastAsia="zh-CN"/>
        </w:rPr>
        <w:t>线下服务时间每月不得少于2天（次），线上服务时间每月不得少于3天（次）</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并能提供指导服务日志和图片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得20分，</w:t>
      </w:r>
      <w:r>
        <w:rPr>
          <w:rFonts w:hint="eastAsia" w:ascii="仿宋_GB2312" w:hAnsi="仿宋_GB2312" w:eastAsia="仿宋_GB2312" w:cs="仿宋_GB2312"/>
          <w:sz w:val="32"/>
          <w:szCs w:val="32"/>
        </w:rPr>
        <w:t>每少1次扣</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w:t>
      </w:r>
      <w:r>
        <w:rPr>
          <w:rFonts w:hint="eastAsia" w:ascii="仿宋_GB2312" w:hAnsi="仿宋_GB2312" w:eastAsia="仿宋_GB2312" w:cs="仿宋_GB2312"/>
          <w:b w:val="0"/>
          <w:bCs w:val="0"/>
          <w:sz w:val="32"/>
          <w:szCs w:val="32"/>
          <w:lang w:val="en-US" w:eastAsia="zh-CN"/>
        </w:rPr>
        <w:t>。</w:t>
      </w:r>
      <w:r>
        <w:rPr>
          <w:rFonts w:hint="eastAsia" w:ascii="黑体" w:hAnsi="黑体" w:eastAsia="黑体" w:cs="黑体"/>
          <w:b w:val="0"/>
          <w:bCs w:val="0"/>
          <w:sz w:val="32"/>
          <w:szCs w:val="32"/>
          <w:lang w:val="en-US" w:eastAsia="zh-CN"/>
        </w:rPr>
        <w:t>二是</w:t>
      </w:r>
      <w:r>
        <w:rPr>
          <w:rFonts w:hint="eastAsia" w:ascii="仿宋_GB2312" w:hAnsi="仿宋_GB2312" w:eastAsia="仿宋_GB2312" w:cs="仿宋_GB2312"/>
          <w:sz w:val="32"/>
          <w:szCs w:val="32"/>
          <w:lang w:val="en-US" w:eastAsia="zh-CN"/>
        </w:rPr>
        <w:t>农业经营主体技术骨干、</w:t>
      </w:r>
      <w:r>
        <w:rPr>
          <w:rFonts w:hint="eastAsia" w:ascii="仿宋_GB2312" w:hAnsi="仿宋_GB2312" w:eastAsia="仿宋_GB2312" w:cs="仿宋_GB2312"/>
          <w:sz w:val="32"/>
          <w:szCs w:val="32"/>
        </w:rPr>
        <w:t>乡土人才</w:t>
      </w:r>
      <w:r>
        <w:rPr>
          <w:rFonts w:hint="eastAsia" w:ascii="仿宋_GB2312" w:hAnsi="仿宋_GB2312" w:eastAsia="仿宋_GB2312" w:cs="仿宋_GB2312"/>
          <w:b w:val="0"/>
          <w:bCs w:val="0"/>
          <w:sz w:val="32"/>
          <w:szCs w:val="32"/>
          <w:lang w:val="en-US" w:eastAsia="zh-CN"/>
        </w:rPr>
        <w:t>聘期内</w:t>
      </w:r>
      <w:r>
        <w:rPr>
          <w:rFonts w:hint="eastAsia" w:ascii="仿宋_GB2312" w:hAnsi="仿宋_GB2312" w:eastAsia="仿宋_GB2312" w:cs="仿宋_GB2312"/>
          <w:b/>
          <w:bCs/>
          <w:sz w:val="32"/>
          <w:szCs w:val="32"/>
          <w:lang w:val="en-US" w:eastAsia="zh-CN"/>
        </w:rPr>
        <w:t>线下服务时间每月不得少于5天（次）</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并能提供指导服务日志和图片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得20分，</w:t>
      </w:r>
      <w:r>
        <w:rPr>
          <w:rFonts w:hint="eastAsia" w:ascii="仿宋_GB2312" w:hAnsi="仿宋_GB2312" w:eastAsia="仿宋_GB2312" w:cs="仿宋_GB2312"/>
          <w:sz w:val="32"/>
          <w:szCs w:val="32"/>
        </w:rPr>
        <w:t>每少1次扣</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w:t>
      </w:r>
      <w:r>
        <w:rPr>
          <w:rFonts w:hint="eastAsia" w:ascii="仿宋_GB2312" w:hAnsi="仿宋_GB2312" w:eastAsia="仿宋_GB2312" w:cs="仿宋_GB2312"/>
          <w:b w:val="0"/>
          <w:bCs w:val="0"/>
          <w:sz w:val="32"/>
          <w:szCs w:val="32"/>
          <w:lang w:val="en-US" w:eastAsia="zh-CN"/>
        </w:rPr>
        <w:t>。</w:t>
      </w:r>
    </w:p>
    <w:p w14:paraId="333120C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4.绩（5分）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带动</w:t>
      </w:r>
      <w:r>
        <w:rPr>
          <w:rFonts w:hint="eastAsia" w:ascii="仿宋_GB2312" w:hAnsi="仿宋_GB2312" w:eastAsia="仿宋_GB2312" w:cs="仿宋_GB2312"/>
          <w:sz w:val="32"/>
          <w:szCs w:val="32"/>
          <w:lang w:val="en-US" w:eastAsia="zh-CN"/>
        </w:rPr>
        <w:t>粮油或</w:t>
      </w:r>
      <w:r>
        <w:rPr>
          <w:rFonts w:hint="eastAsia" w:ascii="仿宋_GB2312" w:hAnsi="仿宋_GB2312" w:eastAsia="仿宋_GB2312" w:cs="仿宋_GB2312"/>
          <w:sz w:val="32"/>
          <w:szCs w:val="32"/>
        </w:rPr>
        <w:t>主导产业发展成效显著、较显著、一般的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分别给予5分、4分、3分。</w:t>
      </w:r>
    </w:p>
    <w:p w14:paraId="0B20B72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（二）业务考评（30分）</w:t>
      </w:r>
    </w:p>
    <w:p w14:paraId="0D330F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主要对特聘农技人员履行服务协议完成的业务工作情况及取得的实绩进行考评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具体考评内容如下：</w:t>
      </w:r>
    </w:p>
    <w:p w14:paraId="3BAFCF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1.服务基地建设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15分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一个</w:t>
      </w:r>
      <w:r>
        <w:rPr>
          <w:rFonts w:hint="eastAsia" w:ascii="仿宋_GB2312" w:hAnsi="仿宋_GB2312" w:eastAsia="仿宋_GB2312" w:cs="仿宋_GB2312"/>
          <w:sz w:val="32"/>
          <w:szCs w:val="32"/>
          <w:lang w:val="en-US" w:eastAsia="zh-CN"/>
        </w:rPr>
        <w:t>粮油生产示范基地或</w:t>
      </w:r>
      <w:r>
        <w:rPr>
          <w:rFonts w:hint="eastAsia" w:ascii="仿宋_GB2312" w:hAnsi="仿宋_GB2312" w:eastAsia="仿宋_GB2312" w:cs="仿宋_GB2312"/>
          <w:sz w:val="32"/>
          <w:szCs w:val="32"/>
        </w:rPr>
        <w:t>特色产业示范基地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得10分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按照示范带动作用</w:t>
      </w:r>
      <w:r>
        <w:rPr>
          <w:rFonts w:hint="eastAsia" w:ascii="仿宋_GB2312" w:hAnsi="仿宋_GB2312" w:eastAsia="仿宋_GB2312" w:cs="仿宋_GB2312"/>
          <w:b w:val="0"/>
          <w:bCs w:val="0"/>
          <w:sz w:val="32"/>
          <w:szCs w:val="32"/>
          <w:lang w:val="en-US" w:eastAsia="zh-CN"/>
        </w:rPr>
        <w:t>“显著”“较显著”“一般”三个档次</w:t>
      </w:r>
      <w:r>
        <w:rPr>
          <w:rFonts w:hint="eastAsia" w:ascii="仿宋_GB2312" w:hAnsi="仿宋_GB2312" w:eastAsia="仿宋_GB2312" w:cs="仿宋_GB2312"/>
          <w:sz w:val="32"/>
          <w:szCs w:val="32"/>
        </w:rPr>
        <w:t>，分别给予5分、4分、3分</w:t>
      </w:r>
      <w:r>
        <w:rPr>
          <w:rFonts w:hint="eastAsia" w:ascii="仿宋_GB2312" w:hAnsi="仿宋_GB2312" w:eastAsia="仿宋_GB2312" w:cs="仿宋_GB2312"/>
          <w:sz w:val="32"/>
          <w:szCs w:val="32"/>
          <w:lang w:eastAsia="zh-CN"/>
        </w:rPr>
        <w:t>。</w:t>
      </w:r>
    </w:p>
    <w:p w14:paraId="2680E49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2.服务示范主体</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rPr>
        <w:t>服务5</w:t>
      </w:r>
      <w:r>
        <w:rPr>
          <w:rFonts w:hint="eastAsia" w:ascii="仿宋_GB2312" w:hAnsi="仿宋_GB2312" w:eastAsia="仿宋_GB2312" w:cs="仿宋_GB2312"/>
          <w:sz w:val="32"/>
          <w:szCs w:val="32"/>
        </w:rPr>
        <w:t>个科技示范主体得1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分，每少一个扣</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eastAsia="zh-CN"/>
        </w:rPr>
        <w:t>。</w:t>
      </w:r>
    </w:p>
    <w:p w14:paraId="3FC74B2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（三）服务对象满意度测评（30分）</w:t>
      </w:r>
    </w:p>
    <w:p w14:paraId="6451E2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服务对象是指特聘农技员挂钩服务的</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个科技示范主体。采取对科技示范主体问卷调查或电话抽查等形式，</w:t>
      </w:r>
      <w:r>
        <w:rPr>
          <w:rFonts w:hint="eastAsia" w:ascii="仿宋_GB2312" w:hAnsi="仿宋_GB2312" w:eastAsia="仿宋_GB2312" w:cs="仿宋_GB2312"/>
          <w:sz w:val="32"/>
          <w:szCs w:val="32"/>
          <w:lang w:val="en-US" w:eastAsia="zh-CN"/>
        </w:rPr>
        <w:t>随机抽取3名</w:t>
      </w:r>
      <w:r>
        <w:rPr>
          <w:rFonts w:hint="eastAsia" w:ascii="仿宋_GB2312" w:hAnsi="仿宋_GB2312" w:eastAsia="仿宋_GB2312" w:cs="仿宋_GB2312"/>
          <w:sz w:val="32"/>
          <w:szCs w:val="32"/>
        </w:rPr>
        <w:t>科技示范主体对特聘农技员在服务态度、信息咨询、技术服务或培训等方面进行满意度测评。</w:t>
      </w:r>
    </w:p>
    <w:p w14:paraId="66C5B1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1.服务态度（10分）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按</w:t>
      </w:r>
      <w:r>
        <w:rPr>
          <w:rFonts w:hint="eastAsia" w:ascii="仿宋_GB2312" w:hAnsi="仿宋_GB2312" w:eastAsia="仿宋_GB2312" w:cs="仿宋_GB2312"/>
          <w:b w:val="0"/>
          <w:bCs w:val="0"/>
          <w:sz w:val="32"/>
          <w:szCs w:val="32"/>
          <w:lang w:val="en-US" w:eastAsia="zh-CN"/>
        </w:rPr>
        <w:t>“满意”“比较满意”“一般”三个档次，</w:t>
      </w:r>
      <w:r>
        <w:rPr>
          <w:rFonts w:hint="eastAsia" w:ascii="仿宋_GB2312" w:hAnsi="仿宋_GB2312" w:eastAsia="仿宋_GB2312" w:cs="仿宋_GB2312"/>
          <w:sz w:val="32"/>
          <w:szCs w:val="32"/>
        </w:rPr>
        <w:t>分别得10分、8分、6分</w:t>
      </w:r>
      <w:r>
        <w:rPr>
          <w:rFonts w:hint="eastAsia" w:ascii="仿宋_GB2312" w:hAnsi="仿宋_GB2312" w:eastAsia="仿宋_GB2312" w:cs="仿宋_GB2312"/>
          <w:sz w:val="32"/>
          <w:szCs w:val="32"/>
          <w:lang w:eastAsia="zh-CN"/>
        </w:rPr>
        <w:t>。</w:t>
      </w:r>
    </w:p>
    <w:p w14:paraId="63468CE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2.技术服务或培训效果（10分）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按</w:t>
      </w:r>
      <w:r>
        <w:rPr>
          <w:rFonts w:hint="eastAsia" w:ascii="仿宋_GB2312" w:hAnsi="仿宋_GB2312" w:eastAsia="仿宋_GB2312" w:cs="仿宋_GB2312"/>
          <w:b w:val="0"/>
          <w:bCs w:val="0"/>
          <w:sz w:val="32"/>
          <w:szCs w:val="32"/>
          <w:lang w:val="en-US" w:eastAsia="zh-CN"/>
        </w:rPr>
        <w:t>“满意”“比较满意”“一般”三个档次，</w:t>
      </w:r>
      <w:r>
        <w:rPr>
          <w:rFonts w:hint="eastAsia" w:ascii="仿宋_GB2312" w:hAnsi="仿宋_GB2312" w:eastAsia="仿宋_GB2312" w:cs="仿宋_GB2312"/>
          <w:sz w:val="32"/>
          <w:szCs w:val="32"/>
        </w:rPr>
        <w:t>分别得10分、8分、6分</w:t>
      </w:r>
      <w:r>
        <w:rPr>
          <w:rFonts w:hint="eastAsia" w:ascii="仿宋_GB2312" w:hAnsi="仿宋_GB2312" w:eastAsia="仿宋_GB2312" w:cs="仿宋_GB2312"/>
          <w:sz w:val="32"/>
          <w:szCs w:val="32"/>
          <w:lang w:eastAsia="zh-CN"/>
        </w:rPr>
        <w:t>。</w:t>
      </w:r>
    </w:p>
    <w:p w14:paraId="7459E74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3.信息咨询（10分）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按</w:t>
      </w:r>
      <w:r>
        <w:rPr>
          <w:rFonts w:hint="eastAsia" w:ascii="仿宋_GB2312" w:hAnsi="仿宋_GB2312" w:eastAsia="仿宋_GB2312" w:cs="仿宋_GB2312"/>
          <w:b w:val="0"/>
          <w:bCs w:val="0"/>
          <w:sz w:val="32"/>
          <w:szCs w:val="32"/>
          <w:lang w:val="en-US" w:eastAsia="zh-CN"/>
        </w:rPr>
        <w:t>“满意”“比较满意”“一般”三个档次，</w:t>
      </w:r>
      <w:r>
        <w:rPr>
          <w:rFonts w:hint="eastAsia" w:ascii="仿宋_GB2312" w:hAnsi="仿宋_GB2312" w:eastAsia="仿宋_GB2312" w:cs="仿宋_GB2312"/>
          <w:sz w:val="32"/>
          <w:szCs w:val="32"/>
        </w:rPr>
        <w:t>分别得10分、8分、6分</w:t>
      </w:r>
      <w:r>
        <w:rPr>
          <w:rFonts w:hint="eastAsia" w:ascii="仿宋_GB2312" w:hAnsi="仿宋_GB2312" w:eastAsia="仿宋_GB2312" w:cs="仿宋_GB2312"/>
          <w:sz w:val="32"/>
          <w:szCs w:val="32"/>
          <w:lang w:eastAsia="zh-CN"/>
        </w:rPr>
        <w:t>。</w:t>
      </w:r>
    </w:p>
    <w:p w14:paraId="1189FB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五、绩效考评结果应用</w:t>
      </w:r>
    </w:p>
    <w:p w14:paraId="2C9CD3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绩效结果</w:t>
      </w:r>
      <w:r>
        <w:rPr>
          <w:rFonts w:hint="eastAsia" w:ascii="仿宋_GB2312" w:hAnsi="仿宋_GB2312" w:eastAsia="仿宋_GB2312" w:cs="仿宋_GB2312"/>
          <w:sz w:val="32"/>
          <w:szCs w:val="32"/>
          <w:lang w:val="en-US" w:eastAsia="zh-CN"/>
        </w:rPr>
        <w:t>分为“</w:t>
      </w:r>
      <w:r>
        <w:rPr>
          <w:rFonts w:hint="eastAsia" w:ascii="仿宋_GB2312" w:hAnsi="仿宋_GB2312" w:eastAsia="仿宋_GB2312" w:cs="仿宋_GB2312"/>
          <w:sz w:val="32"/>
          <w:szCs w:val="32"/>
        </w:rPr>
        <w:t>优秀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合格</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不合格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个等次</w:t>
      </w:r>
      <w:r>
        <w:rPr>
          <w:rFonts w:hint="eastAsia" w:ascii="仿宋_GB2312" w:hAnsi="仿宋_GB2312" w:eastAsia="仿宋_GB2312" w:cs="仿宋_GB2312"/>
          <w:sz w:val="32"/>
          <w:szCs w:val="32"/>
          <w:lang w:eastAsia="zh-CN"/>
        </w:rPr>
        <w:t>。</w:t>
      </w:r>
    </w:p>
    <w:p w14:paraId="389314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黑体" w:hAnsi="黑体" w:eastAsia="黑体" w:cs="黑体"/>
          <w:sz w:val="32"/>
          <w:szCs w:val="32"/>
          <w:lang w:val="en-US" w:eastAsia="zh-CN"/>
        </w:rPr>
        <w:t>半年考评</w:t>
      </w:r>
      <w:r>
        <w:rPr>
          <w:rFonts w:hint="eastAsia" w:ascii="仿宋_GB2312" w:hAnsi="仿宋_GB2312" w:eastAsia="仿宋_GB2312" w:cs="仿宋_GB2312"/>
          <w:sz w:val="32"/>
          <w:szCs w:val="32"/>
          <w:lang w:val="en-US" w:eastAsia="zh-CN"/>
        </w:rPr>
        <w:t>获评合格及以上等次的，按月一次性兑现</w:t>
      </w:r>
      <w:r>
        <w:rPr>
          <w:rFonts w:hint="eastAsia" w:ascii="仿宋_GB2312" w:hAnsi="仿宋_GB2312" w:eastAsia="仿宋_GB2312" w:cs="仿宋_GB2312"/>
          <w:b w:val="0"/>
          <w:bCs w:val="0"/>
          <w:color w:val="000000"/>
          <w:spacing w:val="0"/>
          <w:kern w:val="2"/>
          <w:sz w:val="32"/>
          <w:szCs w:val="32"/>
          <w:highlight w:val="none"/>
          <w:lang w:val="en-US" w:eastAsia="zh-CN" w:bidi="ar-SA"/>
        </w:rPr>
        <w:t>劳务费；</w:t>
      </w:r>
      <w:r>
        <w:rPr>
          <w:rFonts w:hint="eastAsia" w:ascii="仿宋_GB2312" w:hAnsi="仿宋_GB2312" w:eastAsia="仿宋_GB2312" w:cs="仿宋_GB2312"/>
          <w:sz w:val="32"/>
          <w:szCs w:val="32"/>
          <w:lang w:val="en-US" w:eastAsia="zh-CN"/>
        </w:rPr>
        <w:t>考评</w:t>
      </w:r>
      <w:r>
        <w:rPr>
          <w:rFonts w:hint="eastAsia" w:ascii="仿宋_GB2312" w:hAnsi="仿宋_GB2312" w:eastAsia="仿宋_GB2312" w:cs="仿宋_GB2312"/>
          <w:sz w:val="32"/>
          <w:szCs w:val="32"/>
        </w:rPr>
        <w:t>不合格</w:t>
      </w:r>
      <w:r>
        <w:rPr>
          <w:rFonts w:hint="eastAsia" w:ascii="仿宋_GB2312" w:hAnsi="仿宋_GB2312" w:eastAsia="仿宋_GB2312" w:cs="仿宋_GB2312"/>
          <w:sz w:val="32"/>
          <w:szCs w:val="32"/>
          <w:lang w:val="en-US" w:eastAsia="zh-CN"/>
        </w:rPr>
        <w:t>的，不予兑现</w:t>
      </w:r>
      <w:r>
        <w:rPr>
          <w:rFonts w:hint="eastAsia" w:ascii="仿宋_GB2312" w:hAnsi="仿宋_GB2312" w:eastAsia="仿宋_GB2312" w:cs="仿宋_GB2312"/>
          <w:b w:val="0"/>
          <w:bCs w:val="0"/>
          <w:color w:val="000000"/>
          <w:spacing w:val="0"/>
          <w:kern w:val="2"/>
          <w:sz w:val="32"/>
          <w:szCs w:val="32"/>
          <w:highlight w:val="none"/>
          <w:lang w:val="en-US" w:eastAsia="zh-CN" w:bidi="ar-SA"/>
        </w:rPr>
        <w:t>劳务费。</w:t>
      </w:r>
    </w:p>
    <w:p w14:paraId="63F6C9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黑体" w:hAnsi="黑体" w:eastAsia="黑体" w:cs="黑体"/>
          <w:sz w:val="32"/>
          <w:szCs w:val="32"/>
          <w:lang w:val="en-US" w:eastAsia="zh-CN"/>
        </w:rPr>
        <w:t>年度考评</w:t>
      </w:r>
      <w:r>
        <w:rPr>
          <w:rFonts w:hint="eastAsia" w:ascii="仿宋_GB2312" w:hAnsi="仿宋_GB2312" w:eastAsia="仿宋_GB2312" w:cs="仿宋_GB2312"/>
          <w:sz w:val="32"/>
          <w:szCs w:val="32"/>
          <w:lang w:val="en-US" w:eastAsia="zh-CN"/>
        </w:rPr>
        <w:t>获评“</w:t>
      </w:r>
      <w:r>
        <w:rPr>
          <w:rFonts w:hint="eastAsia" w:ascii="仿宋_GB2312" w:hAnsi="仿宋_GB2312" w:eastAsia="仿宋_GB2312" w:cs="仿宋_GB2312"/>
          <w:sz w:val="32"/>
          <w:szCs w:val="32"/>
        </w:rPr>
        <w:t>优秀</w:t>
      </w:r>
      <w:r>
        <w:rPr>
          <w:rFonts w:hint="eastAsia" w:ascii="仿宋_GB2312" w:hAnsi="仿宋_GB2312" w:eastAsia="仿宋_GB2312" w:cs="仿宋_GB2312"/>
          <w:sz w:val="32"/>
          <w:szCs w:val="32"/>
          <w:lang w:val="en-US" w:eastAsia="zh-CN"/>
        </w:rPr>
        <w:t>”等次，按月一次性兑现</w:t>
      </w:r>
      <w:r>
        <w:rPr>
          <w:rFonts w:hint="eastAsia" w:ascii="仿宋_GB2312" w:hAnsi="仿宋_GB2312" w:eastAsia="仿宋_GB2312" w:cs="仿宋_GB2312"/>
          <w:b w:val="0"/>
          <w:bCs w:val="0"/>
          <w:color w:val="000000"/>
          <w:spacing w:val="0"/>
          <w:kern w:val="2"/>
          <w:sz w:val="32"/>
          <w:szCs w:val="32"/>
          <w:highlight w:val="none"/>
          <w:lang w:val="en-US" w:eastAsia="zh-CN" w:bidi="ar-SA"/>
        </w:rPr>
        <w:t>劳务费，且</w:t>
      </w:r>
      <w:r>
        <w:rPr>
          <w:rFonts w:hint="eastAsia" w:ascii="仿宋_GB2312" w:hAnsi="仿宋_GB2312" w:eastAsia="仿宋_GB2312" w:cs="仿宋_GB2312"/>
          <w:sz w:val="32"/>
          <w:szCs w:val="32"/>
        </w:rPr>
        <w:t>给予每人每</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绩效奖励</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获评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按月一次性兑现</w:t>
      </w:r>
      <w:r>
        <w:rPr>
          <w:rFonts w:hint="eastAsia" w:ascii="仿宋_GB2312" w:hAnsi="仿宋_GB2312" w:eastAsia="仿宋_GB2312" w:cs="仿宋_GB2312"/>
          <w:b w:val="0"/>
          <w:bCs w:val="0"/>
          <w:color w:val="000000"/>
          <w:spacing w:val="0"/>
          <w:kern w:val="2"/>
          <w:sz w:val="32"/>
          <w:szCs w:val="32"/>
          <w:highlight w:val="none"/>
          <w:lang w:val="en-US" w:eastAsia="zh-CN" w:bidi="ar-SA"/>
        </w:rPr>
        <w:t>劳务费，且</w:t>
      </w:r>
      <w:r>
        <w:rPr>
          <w:rFonts w:hint="eastAsia" w:ascii="仿宋_GB2312" w:hAnsi="仿宋_GB2312" w:eastAsia="仿宋_GB2312" w:cs="仿宋_GB2312"/>
          <w:sz w:val="32"/>
          <w:szCs w:val="32"/>
        </w:rPr>
        <w:t>给予每人每</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绩效奖励</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获评“</w:t>
      </w:r>
      <w:r>
        <w:rPr>
          <w:rFonts w:hint="eastAsia" w:ascii="仿宋_GB2312" w:hAnsi="仿宋_GB2312" w:eastAsia="仿宋_GB2312" w:cs="仿宋_GB2312"/>
          <w:sz w:val="32"/>
          <w:szCs w:val="32"/>
        </w:rPr>
        <w:t>合格</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等次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按月一次性兑现</w:t>
      </w:r>
      <w:r>
        <w:rPr>
          <w:rFonts w:hint="eastAsia" w:ascii="仿宋_GB2312" w:hAnsi="仿宋_GB2312" w:eastAsia="仿宋_GB2312" w:cs="仿宋_GB2312"/>
          <w:b w:val="0"/>
          <w:bCs w:val="0"/>
          <w:color w:val="000000"/>
          <w:spacing w:val="0"/>
          <w:kern w:val="2"/>
          <w:sz w:val="32"/>
          <w:szCs w:val="32"/>
          <w:highlight w:val="none"/>
          <w:lang w:val="en-US" w:eastAsia="zh-CN" w:bidi="ar-SA"/>
        </w:rPr>
        <w:t>劳务费，且</w:t>
      </w:r>
      <w:r>
        <w:rPr>
          <w:rFonts w:hint="eastAsia" w:ascii="仿宋_GB2312" w:hAnsi="仿宋_GB2312" w:eastAsia="仿宋_GB2312" w:cs="仿宋_GB2312"/>
          <w:sz w:val="32"/>
          <w:szCs w:val="32"/>
        </w:rPr>
        <w:t>给予每人每</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绩效奖励</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获评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不合格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不发放劳务费和绩</w:t>
      </w:r>
      <w:r>
        <w:rPr>
          <w:rFonts w:hint="eastAsia" w:ascii="仿宋_GB2312" w:hAnsi="仿宋_GB2312" w:eastAsia="仿宋_GB2312" w:cs="仿宋_GB2312"/>
          <w:sz w:val="32"/>
          <w:szCs w:val="32"/>
        </w:rPr>
        <w:t>效奖励。对</w:t>
      </w:r>
      <w:r>
        <w:rPr>
          <w:rFonts w:hint="eastAsia" w:ascii="仿宋_GB2312" w:hAnsi="仿宋_GB2312" w:eastAsia="仿宋_GB2312" w:cs="仿宋_GB2312"/>
          <w:sz w:val="32"/>
          <w:szCs w:val="32"/>
          <w:lang w:val="en-US" w:eastAsia="zh-CN"/>
        </w:rPr>
        <w:t>获评“</w:t>
      </w:r>
      <w:r>
        <w:rPr>
          <w:rFonts w:hint="eastAsia" w:ascii="仿宋_GB2312" w:hAnsi="仿宋_GB2312" w:eastAsia="仿宋_GB2312" w:cs="仿宋_GB2312"/>
          <w:sz w:val="32"/>
          <w:szCs w:val="32"/>
        </w:rPr>
        <w:t>优秀</w:t>
      </w:r>
      <w:r>
        <w:rPr>
          <w:rFonts w:hint="eastAsia" w:ascii="仿宋_GB2312" w:hAnsi="仿宋_GB2312" w:eastAsia="仿宋_GB2312" w:cs="仿宋_GB2312"/>
          <w:sz w:val="32"/>
          <w:szCs w:val="32"/>
          <w:lang w:val="en-US" w:eastAsia="zh-CN"/>
        </w:rPr>
        <w:t>”等次</w:t>
      </w:r>
      <w:r>
        <w:rPr>
          <w:rFonts w:hint="eastAsia" w:ascii="仿宋_GB2312" w:hAnsi="仿宋_GB2312" w:eastAsia="仿宋_GB2312" w:cs="仿宋_GB2312"/>
          <w:sz w:val="32"/>
          <w:szCs w:val="32"/>
        </w:rPr>
        <w:t>者，作为下年度特聘农技员优先续聘依据。</w:t>
      </w:r>
    </w:p>
    <w:p w14:paraId="0EB219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六、其他事项</w:t>
      </w:r>
    </w:p>
    <w:p w14:paraId="3D21C2F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1.相关佐证材料</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特聘农技员服务日志、指导服务图片、半年小结、年度总结、年度绩效自评报告以及挂钩科技示范主体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包括：</w:t>
      </w:r>
      <w:r>
        <w:rPr>
          <w:rFonts w:hint="eastAsia" w:ascii="仿宋_GB2312" w:hAnsi="仿宋_GB2312" w:eastAsia="仿宋_GB2312" w:cs="仿宋_GB2312"/>
          <w:sz w:val="32"/>
          <w:szCs w:val="32"/>
        </w:rPr>
        <w:t>姓名、家庭住址、联系电话、种养情况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等材料。</w:t>
      </w:r>
    </w:p>
    <w:p w14:paraId="6DFB396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2.材料报送时间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rPr>
        <w:t>半年考评材料、年度考评材料分别</w:t>
      </w:r>
      <w:r>
        <w:rPr>
          <w:rFonts w:hint="eastAsia" w:ascii="仿宋_GB2312" w:hAnsi="仿宋_GB2312" w:eastAsia="仿宋_GB2312" w:cs="仿宋_GB2312"/>
          <w:b w:val="0"/>
          <w:bCs w:val="0"/>
          <w:sz w:val="32"/>
          <w:szCs w:val="32"/>
        </w:rPr>
        <w:t>于</w:t>
      </w:r>
      <w:r>
        <w:rPr>
          <w:rFonts w:hint="eastAsia" w:ascii="仿宋_GB2312" w:hAnsi="仿宋_GB2312" w:eastAsia="仿宋_GB2312" w:cs="仿宋_GB2312"/>
          <w:b w:val="0"/>
          <w:bCs w:val="0"/>
          <w:sz w:val="32"/>
          <w:szCs w:val="32"/>
          <w:lang w:eastAsia="zh-CN"/>
        </w:rPr>
        <w:t>202</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20</w:t>
      </w:r>
      <w:r>
        <w:rPr>
          <w:rFonts w:hint="eastAsia" w:ascii="仿宋_GB2312" w:hAnsi="仿宋_GB2312" w:eastAsia="仿宋_GB2312" w:cs="仿宋_GB2312"/>
          <w:b w:val="0"/>
          <w:bCs w:val="0"/>
          <w:sz w:val="32"/>
          <w:szCs w:val="32"/>
        </w:rPr>
        <w:t>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20</w:t>
      </w:r>
      <w:r>
        <w:rPr>
          <w:rFonts w:hint="eastAsia" w:ascii="仿宋_GB2312" w:hAnsi="仿宋_GB2312" w:eastAsia="仿宋_GB2312" w:cs="仿宋_GB2312"/>
          <w:b w:val="0"/>
          <w:bCs w:val="0"/>
          <w:sz w:val="32"/>
          <w:szCs w:val="32"/>
        </w:rPr>
        <w:t>日前报送到</w:t>
      </w:r>
      <w:r>
        <w:rPr>
          <w:rFonts w:hint="eastAsia" w:ascii="仿宋_GB2312" w:hAnsi="仿宋_GB2312" w:eastAsia="仿宋_GB2312" w:cs="仿宋_GB2312"/>
          <w:b w:val="0"/>
          <w:bCs w:val="0"/>
          <w:sz w:val="32"/>
          <w:szCs w:val="32"/>
          <w:lang w:val="en-US" w:eastAsia="zh-CN"/>
        </w:rPr>
        <w:t>剑河</w:t>
      </w:r>
      <w:r>
        <w:rPr>
          <w:rFonts w:hint="eastAsia" w:ascii="仿宋_GB2312" w:hAnsi="仿宋_GB2312" w:eastAsia="仿宋_GB2312" w:cs="仿宋_GB2312"/>
          <w:b w:val="0"/>
          <w:bCs w:val="0"/>
          <w:sz w:val="32"/>
          <w:szCs w:val="32"/>
        </w:rPr>
        <w:t>县农业农村局</w:t>
      </w:r>
      <w:r>
        <w:rPr>
          <w:rFonts w:hint="eastAsia" w:ascii="仿宋_GB2312" w:hAnsi="仿宋_GB2312" w:eastAsia="仿宋_GB2312" w:cs="仿宋_GB2312"/>
          <w:b w:val="0"/>
          <w:bCs w:val="0"/>
          <w:sz w:val="32"/>
          <w:szCs w:val="32"/>
          <w:lang w:val="en-US" w:eastAsia="zh-CN"/>
        </w:rPr>
        <w:t>农广校（联系人，杨志钱，电话：18798415203）</w:t>
      </w:r>
      <w:r>
        <w:rPr>
          <w:rFonts w:hint="eastAsia" w:ascii="仿宋_GB2312" w:hAnsi="仿宋_GB2312" w:eastAsia="仿宋_GB2312" w:cs="仿宋_GB2312"/>
          <w:b w:val="0"/>
          <w:bCs w:val="0"/>
          <w:sz w:val="32"/>
          <w:szCs w:val="32"/>
        </w:rPr>
        <w:t>。</w:t>
      </w:r>
    </w:p>
    <w:p w14:paraId="6FBF7A7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color w:val="333333"/>
          <w:sz w:val="32"/>
          <w:szCs w:val="32"/>
          <w:shd w:val="clear" w:fill="FFFFFF"/>
        </w:rPr>
      </w:pPr>
    </w:p>
    <w:p w14:paraId="6D81E92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z w:val="32"/>
          <w:szCs w:val="32"/>
        </w:rPr>
      </w:pPr>
    </w:p>
    <w:p w14:paraId="7076426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z w:val="32"/>
          <w:szCs w:val="32"/>
        </w:rPr>
      </w:pPr>
    </w:p>
    <w:p w14:paraId="79F2CF4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z w:val="32"/>
          <w:szCs w:val="32"/>
        </w:rPr>
      </w:pPr>
    </w:p>
    <w:p w14:paraId="57EF3E1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z w:val="32"/>
          <w:szCs w:val="32"/>
        </w:rPr>
      </w:pPr>
    </w:p>
    <w:p w14:paraId="42C9CB5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z w:val="32"/>
          <w:szCs w:val="32"/>
        </w:rPr>
        <w:sectPr>
          <w:footerReference r:id="rId5" w:type="default"/>
          <w:footnotePr>
            <w:numFmt w:val="decimal"/>
          </w:footnotePr>
          <w:type w:val="continuous"/>
          <w:pgSz w:w="11900" w:h="16840"/>
          <w:pgMar w:top="2154" w:right="1474" w:bottom="1984" w:left="1587" w:header="978" w:footer="1417" w:gutter="0"/>
          <w:pgNumType w:fmt="decimal"/>
          <w:cols w:space="720" w:num="1"/>
          <w:rtlGutter w:val="0"/>
          <w:docGrid w:linePitch="360" w:charSpace="0"/>
        </w:sectPr>
      </w:pPr>
    </w:p>
    <w:tbl>
      <w:tblPr>
        <w:tblStyle w:val="7"/>
        <w:tblpPr w:leftFromText="180" w:rightFromText="180" w:vertAnchor="text" w:horzAnchor="page" w:tblpX="1285" w:tblpY="53"/>
        <w:tblOverlap w:val="never"/>
        <w:tblW w:w="14639" w:type="dxa"/>
        <w:tblInd w:w="0" w:type="dxa"/>
        <w:tblLayout w:type="autofit"/>
        <w:tblCellMar>
          <w:top w:w="0" w:type="dxa"/>
          <w:left w:w="0" w:type="dxa"/>
          <w:bottom w:w="0" w:type="dxa"/>
          <w:right w:w="0" w:type="dxa"/>
        </w:tblCellMar>
      </w:tblPr>
      <w:tblGrid>
        <w:gridCol w:w="1019"/>
        <w:gridCol w:w="1612"/>
        <w:gridCol w:w="6248"/>
        <w:gridCol w:w="3180"/>
        <w:gridCol w:w="1185"/>
        <w:gridCol w:w="1395"/>
      </w:tblGrid>
      <w:tr w14:paraId="2216C80E">
        <w:tblPrEx>
          <w:tblCellMar>
            <w:top w:w="0" w:type="dxa"/>
            <w:left w:w="0" w:type="dxa"/>
            <w:bottom w:w="0" w:type="dxa"/>
            <w:right w:w="0" w:type="dxa"/>
          </w:tblCellMar>
        </w:tblPrEx>
        <w:trPr>
          <w:trHeight w:val="510" w:hRule="atLeast"/>
        </w:trPr>
        <w:tc>
          <w:tcPr>
            <w:tcW w:w="14639" w:type="dxa"/>
            <w:gridSpan w:val="6"/>
            <w:tcBorders>
              <w:top w:val="nil"/>
              <w:left w:val="nil"/>
              <w:bottom w:val="nil"/>
              <w:right w:val="nil"/>
            </w:tcBorders>
            <w:shd w:val="clear" w:color="auto" w:fill="auto"/>
            <w:tcMar>
              <w:top w:w="10" w:type="dxa"/>
              <w:left w:w="10" w:type="dxa"/>
              <w:bottom w:w="0" w:type="dxa"/>
              <w:right w:w="10" w:type="dxa"/>
            </w:tcMar>
            <w:vAlign w:val="center"/>
          </w:tcPr>
          <w:p w14:paraId="02FC5858">
            <w:pPr>
              <w:keepNext w:val="0"/>
              <w:keepLines w:val="0"/>
              <w:widowControl/>
              <w:shd w:val="clear"/>
              <w:bidi w:val="0"/>
              <w:spacing w:before="0" w:after="0" w:line="240" w:lineRule="auto"/>
              <w:ind w:left="0" w:right="0" w:firstLine="0"/>
              <w:jc w:val="center"/>
              <w:rPr>
                <w:rFonts w:ascii="宋体" w:hAnsi="宋体" w:eastAsia="宋体" w:cs="宋体"/>
                <w:spacing w:val="0"/>
                <w:w w:val="100"/>
                <w:kern w:val="0"/>
                <w:position w:val="0"/>
                <w:sz w:val="18"/>
                <w:szCs w:val="18"/>
                <w:shd w:val="clear"/>
                <w:lang w:eastAsia="zh-CN" w:bidi="ar-SA"/>
              </w:rPr>
            </w:pPr>
            <w:r>
              <w:rPr>
                <w:rFonts w:hint="eastAsia" w:ascii="方正小标宋简体" w:hAnsi="方正小标宋简体" w:eastAsia="方正小标宋简体" w:cs="方正小标宋简体"/>
                <w:b w:val="0"/>
                <w:bCs w:val="0"/>
                <w:spacing w:val="0"/>
                <w:w w:val="100"/>
                <w:kern w:val="0"/>
                <w:position w:val="0"/>
                <w:sz w:val="32"/>
                <w:szCs w:val="32"/>
                <w:shd w:val="clear"/>
                <w:lang w:eastAsia="zh-CN" w:bidi="ar-SA"/>
              </w:rPr>
              <w:t>202</w:t>
            </w:r>
            <w:r>
              <w:rPr>
                <w:rFonts w:hint="eastAsia" w:ascii="方正小标宋简体" w:hAnsi="方正小标宋简体" w:eastAsia="方正小标宋简体" w:cs="方正小标宋简体"/>
                <w:b w:val="0"/>
                <w:bCs w:val="0"/>
                <w:spacing w:val="0"/>
                <w:w w:val="100"/>
                <w:kern w:val="0"/>
                <w:position w:val="0"/>
                <w:sz w:val="32"/>
                <w:szCs w:val="32"/>
                <w:shd w:val="clear"/>
                <w:lang w:val="en-US" w:eastAsia="zh-CN" w:bidi="ar-SA"/>
              </w:rPr>
              <w:t>5</w:t>
            </w:r>
            <w:r>
              <w:rPr>
                <w:rFonts w:hint="eastAsia" w:ascii="方正小标宋简体" w:hAnsi="方正小标宋简体" w:eastAsia="方正小标宋简体" w:cs="方正小标宋简体"/>
                <w:b w:val="0"/>
                <w:bCs w:val="0"/>
                <w:spacing w:val="0"/>
                <w:w w:val="100"/>
                <w:kern w:val="0"/>
                <w:position w:val="0"/>
                <w:sz w:val="32"/>
                <w:szCs w:val="32"/>
                <w:shd w:val="clear"/>
                <w:lang w:eastAsia="zh-CN" w:bidi="ar-SA"/>
              </w:rPr>
              <w:t>年</w:t>
            </w:r>
            <w:r>
              <w:rPr>
                <w:rFonts w:hint="eastAsia" w:ascii="方正小标宋简体" w:hAnsi="方正小标宋简体" w:eastAsia="方正小标宋简体" w:cs="方正小标宋简体"/>
                <w:b w:val="0"/>
                <w:bCs w:val="0"/>
                <w:spacing w:val="0"/>
                <w:w w:val="100"/>
                <w:kern w:val="0"/>
                <w:position w:val="0"/>
                <w:sz w:val="32"/>
                <w:szCs w:val="32"/>
                <w:shd w:val="clear"/>
                <w:lang w:val="en-US" w:eastAsia="zh-CN" w:bidi="ar-SA"/>
              </w:rPr>
              <w:t>剑河县</w:t>
            </w:r>
            <w:r>
              <w:rPr>
                <w:rFonts w:hint="eastAsia" w:ascii="方正小标宋简体" w:hAnsi="方正小标宋简体" w:eastAsia="方正小标宋简体" w:cs="方正小标宋简体"/>
                <w:b w:val="0"/>
                <w:bCs w:val="0"/>
                <w:spacing w:val="0"/>
                <w:w w:val="100"/>
                <w:kern w:val="0"/>
                <w:position w:val="0"/>
                <w:sz w:val="32"/>
                <w:szCs w:val="32"/>
                <w:shd w:val="clear"/>
                <w:lang w:eastAsia="zh-CN" w:bidi="ar-SA"/>
              </w:rPr>
              <w:t>特聘农技员绩效</w:t>
            </w:r>
            <w:r>
              <w:rPr>
                <w:rFonts w:hint="eastAsia" w:ascii="方正小标宋简体" w:hAnsi="方正小标宋简体" w:eastAsia="方正小标宋简体" w:cs="方正小标宋简体"/>
                <w:b w:val="0"/>
                <w:bCs w:val="0"/>
                <w:spacing w:val="0"/>
                <w:w w:val="100"/>
                <w:kern w:val="0"/>
                <w:position w:val="0"/>
                <w:sz w:val="32"/>
                <w:szCs w:val="32"/>
                <w:shd w:val="clear"/>
                <w:lang w:val="en-US" w:eastAsia="zh-CN" w:bidi="ar-SA"/>
              </w:rPr>
              <w:t>考评</w:t>
            </w:r>
            <w:r>
              <w:rPr>
                <w:rFonts w:hint="eastAsia" w:ascii="方正小标宋简体" w:hAnsi="方正小标宋简体" w:eastAsia="方正小标宋简体" w:cs="方正小标宋简体"/>
                <w:b w:val="0"/>
                <w:bCs w:val="0"/>
                <w:spacing w:val="0"/>
                <w:w w:val="100"/>
                <w:kern w:val="0"/>
                <w:position w:val="0"/>
                <w:sz w:val="32"/>
                <w:szCs w:val="32"/>
                <w:shd w:val="clear"/>
                <w:lang w:eastAsia="zh-CN" w:bidi="ar-SA"/>
              </w:rPr>
              <w:t>表</w:t>
            </w:r>
          </w:p>
        </w:tc>
      </w:tr>
      <w:tr w14:paraId="47541F7E">
        <w:tblPrEx>
          <w:tblCellMar>
            <w:top w:w="0" w:type="dxa"/>
            <w:left w:w="0" w:type="dxa"/>
            <w:bottom w:w="0" w:type="dxa"/>
            <w:right w:w="0" w:type="dxa"/>
          </w:tblCellMar>
        </w:tblPrEx>
        <w:trPr>
          <w:trHeight w:val="660" w:hRule="atLeast"/>
        </w:trPr>
        <w:tc>
          <w:tcPr>
            <w:tcW w:w="1019" w:type="dxa"/>
            <w:tcBorders>
              <w:top w:val="single" w:color="000000" w:sz="4" w:space="0"/>
              <w:left w:val="single" w:color="000000" w:sz="4" w:space="0"/>
              <w:bottom w:val="nil"/>
              <w:right w:val="single" w:color="000000" w:sz="4" w:space="0"/>
            </w:tcBorders>
            <w:shd w:val="clear" w:color="auto" w:fill="auto"/>
            <w:tcMar>
              <w:top w:w="10" w:type="dxa"/>
              <w:left w:w="10" w:type="dxa"/>
              <w:bottom w:w="0" w:type="dxa"/>
              <w:right w:w="10" w:type="dxa"/>
            </w:tcMar>
            <w:vAlign w:val="center"/>
          </w:tcPr>
          <w:p w14:paraId="61461192">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考评项目</w:t>
            </w:r>
          </w:p>
        </w:tc>
        <w:tc>
          <w:tcPr>
            <w:tcW w:w="1612" w:type="dxa"/>
            <w:tcBorders>
              <w:top w:val="single" w:color="000000" w:sz="4" w:space="0"/>
              <w:left w:val="nil"/>
              <w:bottom w:val="nil"/>
              <w:right w:val="single" w:color="000000" w:sz="4" w:space="0"/>
            </w:tcBorders>
            <w:shd w:val="clear" w:color="auto" w:fill="auto"/>
            <w:tcMar>
              <w:top w:w="10" w:type="dxa"/>
              <w:left w:w="10" w:type="dxa"/>
              <w:bottom w:w="0" w:type="dxa"/>
              <w:right w:w="10" w:type="dxa"/>
            </w:tcMar>
            <w:vAlign w:val="center"/>
          </w:tcPr>
          <w:p w14:paraId="275E6F20">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考评指标</w:t>
            </w:r>
            <w:r>
              <w:rPr>
                <w:rFonts w:hint="eastAsia" w:ascii="黑体" w:hAnsi="黑体" w:eastAsia="黑体" w:cs="黑体"/>
                <w:b w:val="0"/>
                <w:bCs w:val="0"/>
                <w:spacing w:val="0"/>
                <w:w w:val="100"/>
                <w:kern w:val="0"/>
                <w:position w:val="0"/>
                <w:sz w:val="24"/>
                <w:szCs w:val="24"/>
                <w:shd w:val="clear"/>
                <w:lang w:eastAsia="zh-CN" w:bidi="ar-SA"/>
              </w:rPr>
              <w:br w:type="textWrapping"/>
            </w:r>
            <w:r>
              <w:rPr>
                <w:rFonts w:hint="eastAsia" w:ascii="黑体" w:hAnsi="黑体" w:eastAsia="黑体" w:cs="黑体"/>
                <w:b w:val="0"/>
                <w:bCs w:val="0"/>
                <w:spacing w:val="0"/>
                <w:w w:val="100"/>
                <w:kern w:val="0"/>
                <w:position w:val="0"/>
                <w:sz w:val="24"/>
                <w:szCs w:val="24"/>
                <w:shd w:val="clear"/>
                <w:lang w:eastAsia="zh-CN" w:bidi="ar-SA"/>
              </w:rPr>
              <w:t>和分值</w:t>
            </w:r>
          </w:p>
        </w:tc>
        <w:tc>
          <w:tcPr>
            <w:tcW w:w="6248" w:type="dxa"/>
            <w:tcBorders>
              <w:top w:val="single" w:color="000000"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0550310F">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考评内容</w:t>
            </w:r>
          </w:p>
        </w:tc>
        <w:tc>
          <w:tcPr>
            <w:tcW w:w="3180" w:type="dxa"/>
            <w:tcBorders>
              <w:top w:val="single" w:color="000000"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23B39A6">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得分说明</w:t>
            </w:r>
          </w:p>
        </w:tc>
        <w:tc>
          <w:tcPr>
            <w:tcW w:w="1185" w:type="dxa"/>
            <w:tcBorders>
              <w:top w:val="single" w:color="000000"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5B204B26">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自评得分</w:t>
            </w:r>
          </w:p>
        </w:tc>
        <w:tc>
          <w:tcPr>
            <w:tcW w:w="1395" w:type="dxa"/>
            <w:tcBorders>
              <w:top w:val="single" w:color="000000"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16199A97">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4"/>
                <w:szCs w:val="24"/>
                <w:shd w:val="clear"/>
                <w:lang w:eastAsia="zh-CN" w:bidi="ar-SA"/>
              </w:rPr>
            </w:pPr>
            <w:r>
              <w:rPr>
                <w:rFonts w:hint="eastAsia" w:ascii="黑体" w:hAnsi="黑体" w:eastAsia="黑体" w:cs="黑体"/>
                <w:b w:val="0"/>
                <w:bCs w:val="0"/>
                <w:spacing w:val="0"/>
                <w:w w:val="100"/>
                <w:kern w:val="0"/>
                <w:position w:val="0"/>
                <w:sz w:val="24"/>
                <w:szCs w:val="24"/>
                <w:shd w:val="clear"/>
                <w:lang w:eastAsia="zh-CN" w:bidi="ar-SA"/>
              </w:rPr>
              <w:t>县级考评</w:t>
            </w:r>
          </w:p>
        </w:tc>
      </w:tr>
      <w:tr w14:paraId="52412778">
        <w:tblPrEx>
          <w:tblCellMar>
            <w:top w:w="0" w:type="dxa"/>
            <w:left w:w="0" w:type="dxa"/>
            <w:bottom w:w="0" w:type="dxa"/>
            <w:right w:w="0" w:type="dxa"/>
          </w:tblCellMar>
        </w:tblPrEx>
        <w:trPr>
          <w:trHeight w:val="598" w:hRule="atLeast"/>
        </w:trPr>
        <w:tc>
          <w:tcPr>
            <w:tcW w:w="1019" w:type="dxa"/>
            <w:vMerge w:val="restart"/>
            <w:tcBorders>
              <w:top w:val="single" w:color="000000" w:sz="4" w:space="0"/>
              <w:left w:val="single" w:color="000000" w:sz="4" w:space="0"/>
              <w:right w:val="single" w:color="000000" w:sz="4" w:space="0"/>
            </w:tcBorders>
            <w:shd w:val="clear" w:color="auto" w:fill="auto"/>
            <w:tcMar>
              <w:top w:w="10" w:type="dxa"/>
              <w:left w:w="10" w:type="dxa"/>
              <w:bottom w:w="0" w:type="dxa"/>
              <w:right w:w="10" w:type="dxa"/>
            </w:tcMar>
            <w:vAlign w:val="center"/>
          </w:tcPr>
          <w:p w14:paraId="4DEA4274">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综合考评</w:t>
            </w:r>
          </w:p>
          <w:p w14:paraId="7589B4EB">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（40分）</w:t>
            </w:r>
          </w:p>
        </w:tc>
        <w:tc>
          <w:tcPr>
            <w:tcW w:w="1612" w:type="dxa"/>
            <w:tcBorders>
              <w:top w:val="single" w:color="000000"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3F8BEDF2">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德</w:t>
            </w:r>
          </w:p>
          <w:p w14:paraId="71F3D476">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（5分）</w:t>
            </w:r>
          </w:p>
        </w:tc>
        <w:tc>
          <w:tcPr>
            <w:tcW w:w="6248" w:type="dxa"/>
            <w:tcBorders>
              <w:top w:val="nil"/>
              <w:left w:val="nil"/>
              <w:bottom w:val="nil"/>
              <w:right w:val="single" w:color="000000" w:sz="4" w:space="0"/>
            </w:tcBorders>
            <w:shd w:val="clear" w:color="auto" w:fill="auto"/>
            <w:tcMar>
              <w:top w:w="10" w:type="dxa"/>
              <w:left w:w="10" w:type="dxa"/>
              <w:bottom w:w="0" w:type="dxa"/>
              <w:right w:w="10" w:type="dxa"/>
            </w:tcMar>
            <w:vAlign w:val="center"/>
          </w:tcPr>
          <w:p w14:paraId="556EF974">
            <w:pPr>
              <w:keepNext w:val="0"/>
              <w:keepLines w:val="0"/>
              <w:widowControl/>
              <w:shd w:val="clear"/>
              <w:bidi w:val="0"/>
              <w:spacing w:before="0" w:after="0" w:line="260" w:lineRule="atLeast"/>
              <w:ind w:right="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在</w:t>
            </w:r>
            <w:r>
              <w:rPr>
                <w:rFonts w:hint="eastAsia" w:ascii="仿宋_GB2312" w:hAnsi="仿宋_GB2312" w:eastAsia="仿宋_GB2312" w:cs="仿宋_GB2312"/>
                <w:b w:val="0"/>
                <w:bCs w:val="0"/>
                <w:sz w:val="20"/>
                <w:szCs w:val="20"/>
              </w:rPr>
              <w:t>服务</w:t>
            </w:r>
            <w:r>
              <w:rPr>
                <w:rFonts w:hint="eastAsia" w:ascii="仿宋_GB2312" w:hAnsi="仿宋_GB2312" w:eastAsia="仿宋_GB2312" w:cs="仿宋_GB2312"/>
                <w:b w:val="0"/>
                <w:bCs w:val="0"/>
                <w:sz w:val="20"/>
                <w:szCs w:val="20"/>
                <w:lang w:eastAsia="zh-CN"/>
              </w:rPr>
              <w:t>“</w:t>
            </w:r>
            <w:r>
              <w:rPr>
                <w:rFonts w:hint="eastAsia" w:ascii="仿宋_GB2312" w:hAnsi="仿宋_GB2312" w:eastAsia="仿宋_GB2312" w:cs="仿宋_GB2312"/>
                <w:b w:val="0"/>
                <w:bCs w:val="0"/>
                <w:sz w:val="20"/>
                <w:szCs w:val="20"/>
              </w:rPr>
              <w:t>三农</w:t>
            </w:r>
            <w:r>
              <w:rPr>
                <w:rFonts w:hint="eastAsia" w:ascii="仿宋_GB2312" w:hAnsi="仿宋_GB2312" w:eastAsia="仿宋_GB2312" w:cs="仿宋_GB2312"/>
                <w:b w:val="0"/>
                <w:bCs w:val="0"/>
                <w:sz w:val="20"/>
                <w:szCs w:val="20"/>
                <w:lang w:eastAsia="zh-CN"/>
              </w:rPr>
              <w:t>”</w:t>
            </w:r>
            <w:r>
              <w:rPr>
                <w:rFonts w:hint="eastAsia" w:ascii="仿宋_GB2312" w:hAnsi="仿宋_GB2312" w:eastAsia="仿宋_GB2312" w:cs="仿宋_GB2312"/>
                <w:b w:val="0"/>
                <w:bCs w:val="0"/>
                <w:sz w:val="20"/>
                <w:szCs w:val="20"/>
              </w:rPr>
              <w:t>工作</w:t>
            </w:r>
            <w:r>
              <w:rPr>
                <w:rFonts w:hint="eastAsia" w:ascii="仿宋_GB2312" w:hAnsi="仿宋_GB2312" w:eastAsia="仿宋_GB2312" w:cs="仿宋_GB2312"/>
                <w:b w:val="0"/>
                <w:bCs w:val="0"/>
                <w:sz w:val="20"/>
                <w:szCs w:val="20"/>
                <w:lang w:val="en-US" w:eastAsia="zh-CN"/>
              </w:rPr>
              <w:t>中的</w:t>
            </w:r>
            <w:r>
              <w:rPr>
                <w:rFonts w:hint="eastAsia" w:ascii="仿宋_GB2312" w:hAnsi="仿宋_GB2312" w:eastAsia="仿宋_GB2312" w:cs="仿宋_GB2312"/>
                <w:b w:val="0"/>
                <w:bCs w:val="0"/>
                <w:sz w:val="20"/>
                <w:szCs w:val="20"/>
              </w:rPr>
              <w:t>职业道德、服务意识、责任</w:t>
            </w:r>
            <w:r>
              <w:rPr>
                <w:rFonts w:hint="eastAsia" w:ascii="仿宋_GB2312" w:hAnsi="仿宋_GB2312" w:eastAsia="仿宋_GB2312" w:cs="仿宋_GB2312"/>
                <w:b w:val="0"/>
                <w:bCs w:val="0"/>
                <w:sz w:val="20"/>
                <w:szCs w:val="20"/>
                <w:lang w:val="en-US" w:eastAsia="zh-CN"/>
              </w:rPr>
              <w:t>能力</w:t>
            </w:r>
            <w:r>
              <w:rPr>
                <w:rFonts w:hint="eastAsia" w:ascii="仿宋_GB2312" w:hAnsi="仿宋_GB2312" w:eastAsia="仿宋_GB2312" w:cs="仿宋_GB2312"/>
                <w:b w:val="0"/>
                <w:bCs w:val="0"/>
                <w:sz w:val="20"/>
                <w:szCs w:val="20"/>
              </w:rPr>
              <w:t>等方面，</w:t>
            </w:r>
            <w:r>
              <w:rPr>
                <w:rFonts w:hint="eastAsia" w:ascii="仿宋_GB2312" w:hAnsi="仿宋_GB2312" w:eastAsia="仿宋_GB2312" w:cs="仿宋_GB2312"/>
                <w:b w:val="0"/>
                <w:bCs w:val="0"/>
                <w:sz w:val="20"/>
                <w:szCs w:val="20"/>
                <w:lang w:val="en-US" w:eastAsia="zh-CN"/>
              </w:rPr>
              <w:t>评定为“好”“较好”“一般”三个档次</w:t>
            </w:r>
            <w:r>
              <w:rPr>
                <w:rFonts w:hint="eastAsia" w:ascii="仿宋_GB2312" w:hAnsi="仿宋_GB2312" w:eastAsia="仿宋_GB2312" w:cs="仿宋_GB2312"/>
                <w:b w:val="0"/>
                <w:bCs w:val="0"/>
                <w:sz w:val="20"/>
                <w:szCs w:val="20"/>
              </w:rPr>
              <w:t>，分别给予5分、4分、3分</w:t>
            </w:r>
            <w:r>
              <w:rPr>
                <w:rFonts w:hint="eastAsia" w:ascii="仿宋_GB2312" w:hAnsi="仿宋_GB2312" w:eastAsia="仿宋_GB2312" w:cs="仿宋_GB2312"/>
                <w:b w:val="0"/>
                <w:bCs w:val="0"/>
                <w:sz w:val="20"/>
                <w:szCs w:val="20"/>
                <w:lang w:eastAsia="zh-CN"/>
              </w:rPr>
              <w:t>。</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6073B291">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390C8CF0">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15419267">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62FBE94B">
        <w:tblPrEx>
          <w:tblCellMar>
            <w:top w:w="0" w:type="dxa"/>
            <w:left w:w="0" w:type="dxa"/>
            <w:bottom w:w="0" w:type="dxa"/>
            <w:right w:w="0" w:type="dxa"/>
          </w:tblCellMar>
        </w:tblPrEx>
        <w:trPr>
          <w:trHeight w:val="1095" w:hRule="atLeast"/>
        </w:trPr>
        <w:tc>
          <w:tcPr>
            <w:tcW w:w="1019" w:type="dxa"/>
            <w:vMerge w:val="continue"/>
            <w:tcBorders>
              <w:left w:val="single" w:color="000000" w:sz="4" w:space="0"/>
              <w:right w:val="single" w:color="000000" w:sz="4" w:space="0"/>
            </w:tcBorders>
            <w:shd w:val="clear" w:color="auto" w:fill="auto"/>
            <w:tcMar>
              <w:top w:w="10" w:type="dxa"/>
              <w:left w:w="10" w:type="dxa"/>
              <w:bottom w:w="0" w:type="dxa"/>
              <w:right w:w="10" w:type="dxa"/>
            </w:tcMar>
            <w:vAlign w:val="center"/>
          </w:tcPr>
          <w:p w14:paraId="48026A46">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nil"/>
              <w:left w:val="nil"/>
              <w:bottom w:val="nil"/>
              <w:right w:val="single" w:color="000000" w:sz="4" w:space="0"/>
            </w:tcBorders>
            <w:shd w:val="clear" w:color="auto" w:fill="auto"/>
            <w:tcMar>
              <w:top w:w="10" w:type="dxa"/>
              <w:left w:w="10" w:type="dxa"/>
              <w:bottom w:w="0" w:type="dxa"/>
              <w:right w:w="10" w:type="dxa"/>
            </w:tcMar>
            <w:vAlign w:val="center"/>
          </w:tcPr>
          <w:p w14:paraId="48856C87">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能</w:t>
            </w:r>
          </w:p>
          <w:p w14:paraId="7A176FAB">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（10分）</w:t>
            </w:r>
          </w:p>
        </w:tc>
        <w:tc>
          <w:tcPr>
            <w:tcW w:w="6248" w:type="dxa"/>
            <w:tcBorders>
              <w:top w:val="single" w:color="000000" w:sz="4" w:space="0"/>
              <w:left w:val="nil"/>
              <w:bottom w:val="nil"/>
              <w:right w:val="single" w:color="000000" w:sz="4" w:space="0"/>
            </w:tcBorders>
            <w:shd w:val="clear" w:color="auto" w:fill="auto"/>
            <w:tcMar>
              <w:top w:w="10" w:type="dxa"/>
              <w:left w:w="10" w:type="dxa"/>
              <w:bottom w:w="0" w:type="dxa"/>
              <w:right w:w="10" w:type="dxa"/>
            </w:tcMar>
            <w:vAlign w:val="center"/>
          </w:tcPr>
          <w:p w14:paraId="56F22BCC">
            <w:pPr>
              <w:keepNext w:val="0"/>
              <w:keepLines w:val="0"/>
              <w:widowControl/>
              <w:shd w:val="clear"/>
              <w:bidi w:val="0"/>
              <w:spacing w:before="0" w:after="0" w:line="260" w:lineRule="atLeast"/>
              <w:ind w:right="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制定年度技术指导服务计划得1分，否则不得分；积极开展农技推广服务得2分，否则不得分；帮助农户解决一项技术问题得1分，封顶5分；聘期内组织开展技术培训（室内培训或现场培训）不少于2次得2分，每少1次扣1分。</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0034D214">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502F2A78">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60E5CC84">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74A95AF7">
        <w:tblPrEx>
          <w:tblCellMar>
            <w:top w:w="0" w:type="dxa"/>
            <w:left w:w="0" w:type="dxa"/>
            <w:bottom w:w="0" w:type="dxa"/>
            <w:right w:w="0" w:type="dxa"/>
          </w:tblCellMar>
        </w:tblPrEx>
        <w:trPr>
          <w:trHeight w:val="694" w:hRule="atLeast"/>
        </w:trPr>
        <w:tc>
          <w:tcPr>
            <w:tcW w:w="1019" w:type="dxa"/>
            <w:vMerge w:val="continue"/>
            <w:tcBorders>
              <w:left w:val="single" w:color="000000" w:sz="4" w:space="0"/>
              <w:right w:val="single" w:color="000000" w:sz="4" w:space="0"/>
            </w:tcBorders>
            <w:shd w:val="clear" w:color="auto" w:fill="auto"/>
            <w:tcMar>
              <w:top w:w="10" w:type="dxa"/>
              <w:left w:w="10" w:type="dxa"/>
              <w:bottom w:w="0" w:type="dxa"/>
              <w:right w:w="10" w:type="dxa"/>
            </w:tcMar>
            <w:vAlign w:val="center"/>
          </w:tcPr>
          <w:p w14:paraId="72DCA855">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single" w:color="000000" w:sz="4" w:space="0"/>
              <w:left w:val="nil"/>
              <w:bottom w:val="nil"/>
              <w:right w:val="single" w:color="000000" w:sz="4" w:space="0"/>
            </w:tcBorders>
            <w:shd w:val="clear" w:color="auto" w:fill="auto"/>
            <w:tcMar>
              <w:top w:w="10" w:type="dxa"/>
              <w:left w:w="10" w:type="dxa"/>
              <w:bottom w:w="0" w:type="dxa"/>
              <w:right w:w="10" w:type="dxa"/>
            </w:tcMar>
            <w:vAlign w:val="center"/>
          </w:tcPr>
          <w:p w14:paraId="24D55EDE">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勤</w:t>
            </w:r>
          </w:p>
          <w:p w14:paraId="4A124006">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w:t>
            </w:r>
            <w:r>
              <w:rPr>
                <w:rFonts w:hint="eastAsia" w:ascii="黑体" w:hAnsi="黑体" w:eastAsia="黑体" w:cs="黑体"/>
                <w:b w:val="0"/>
                <w:bCs w:val="0"/>
                <w:spacing w:val="0"/>
                <w:w w:val="100"/>
                <w:kern w:val="0"/>
                <w:position w:val="0"/>
                <w:sz w:val="21"/>
                <w:szCs w:val="21"/>
                <w:shd w:val="clear"/>
                <w:lang w:val="en-US" w:eastAsia="zh-CN" w:bidi="ar-SA"/>
              </w:rPr>
              <w:t>2</w:t>
            </w:r>
            <w:r>
              <w:rPr>
                <w:rFonts w:hint="eastAsia" w:ascii="黑体" w:hAnsi="黑体" w:eastAsia="黑体" w:cs="黑体"/>
                <w:b w:val="0"/>
                <w:bCs w:val="0"/>
                <w:spacing w:val="0"/>
                <w:w w:val="100"/>
                <w:kern w:val="0"/>
                <w:position w:val="0"/>
                <w:sz w:val="21"/>
                <w:szCs w:val="21"/>
                <w:shd w:val="clear"/>
                <w:lang w:eastAsia="zh-CN" w:bidi="ar-SA"/>
              </w:rPr>
              <w:t>0分）</w:t>
            </w:r>
          </w:p>
        </w:tc>
        <w:tc>
          <w:tcPr>
            <w:tcW w:w="6248" w:type="dxa"/>
            <w:tcBorders>
              <w:top w:val="single" w:color="000000" w:sz="4" w:space="0"/>
              <w:left w:val="nil"/>
              <w:bottom w:val="nil"/>
              <w:right w:val="single" w:color="000000" w:sz="4" w:space="0"/>
            </w:tcBorders>
            <w:shd w:val="clear" w:color="auto" w:fill="auto"/>
            <w:tcMar>
              <w:top w:w="10" w:type="dxa"/>
              <w:left w:w="10" w:type="dxa"/>
              <w:bottom w:w="0" w:type="dxa"/>
              <w:right w:w="10" w:type="dxa"/>
            </w:tcMar>
            <w:vAlign w:val="center"/>
          </w:tcPr>
          <w:p w14:paraId="26048030">
            <w:pPr>
              <w:keepNext w:val="0"/>
              <w:keepLines w:val="0"/>
              <w:widowControl/>
              <w:shd w:val="clear"/>
              <w:bidi w:val="0"/>
              <w:spacing w:before="0" w:after="0" w:line="260" w:lineRule="atLeast"/>
              <w:ind w:left="0" w:right="0" w:firstLine="0"/>
              <w:jc w:val="left"/>
              <w:rPr>
                <w:rFonts w:hint="eastAsia" w:ascii="仿宋_GB2312" w:hAnsi="仿宋_GB2312" w:eastAsia="仿宋_GB2312" w:cs="仿宋_GB2312"/>
                <w:b w:val="0"/>
                <w:bCs w:val="0"/>
                <w:sz w:val="20"/>
                <w:szCs w:val="20"/>
                <w:lang w:val="en-US" w:eastAsia="zh-CN"/>
              </w:rPr>
            </w:pPr>
            <w:r>
              <w:rPr>
                <w:rFonts w:hint="eastAsia" w:ascii="仿宋_GB2312" w:hAnsi="仿宋_GB2312" w:eastAsia="仿宋_GB2312" w:cs="仿宋_GB2312"/>
                <w:b w:val="0"/>
                <w:bCs w:val="0"/>
                <w:sz w:val="20"/>
                <w:szCs w:val="20"/>
                <w:lang w:val="en-US" w:eastAsia="zh-CN"/>
              </w:rPr>
              <w:t>1.科研教学单位一线服务人员、“三支一扶”计划中涉农毕业生、已退</w:t>
            </w:r>
          </w:p>
          <w:p w14:paraId="25250E70">
            <w:pPr>
              <w:keepNext w:val="0"/>
              <w:keepLines w:val="0"/>
              <w:widowControl/>
              <w:shd w:val="clear"/>
              <w:bidi w:val="0"/>
              <w:spacing w:before="0" w:after="0" w:line="260" w:lineRule="atLeast"/>
              <w:ind w:left="0" w:right="0" w:firstLine="200" w:firstLineChars="100"/>
              <w:jc w:val="left"/>
              <w:rPr>
                <w:rFonts w:hint="eastAsia" w:ascii="仿宋_GB2312" w:hAnsi="仿宋_GB2312" w:eastAsia="仿宋_GB2312" w:cs="仿宋_GB2312"/>
                <w:b w:val="0"/>
                <w:bCs w:val="0"/>
                <w:sz w:val="20"/>
                <w:szCs w:val="20"/>
                <w:lang w:val="en-US" w:eastAsia="zh-CN"/>
              </w:rPr>
            </w:pPr>
            <w:r>
              <w:rPr>
                <w:rFonts w:hint="eastAsia" w:ascii="仿宋_GB2312" w:hAnsi="仿宋_GB2312" w:eastAsia="仿宋_GB2312" w:cs="仿宋_GB2312"/>
                <w:b w:val="0"/>
                <w:bCs w:val="0"/>
                <w:sz w:val="20"/>
                <w:szCs w:val="20"/>
                <w:lang w:val="en-US" w:eastAsia="zh-CN"/>
              </w:rPr>
              <w:t>休不超过3年的中级以上职称农业专家聘期内线下服务时间每月不得</w:t>
            </w:r>
          </w:p>
          <w:p w14:paraId="0627CE5D">
            <w:pPr>
              <w:keepNext w:val="0"/>
              <w:keepLines w:val="0"/>
              <w:widowControl/>
              <w:shd w:val="clear"/>
              <w:bidi w:val="0"/>
              <w:spacing w:before="0" w:after="0" w:line="260" w:lineRule="atLeast"/>
              <w:ind w:left="0" w:right="0" w:firstLine="200" w:firstLineChars="100"/>
              <w:jc w:val="left"/>
              <w:rPr>
                <w:rFonts w:hint="eastAsia" w:ascii="仿宋_GB2312" w:hAnsi="仿宋_GB2312" w:eastAsia="仿宋_GB2312" w:cs="仿宋_GB2312"/>
                <w:b w:val="0"/>
                <w:bCs w:val="0"/>
                <w:sz w:val="20"/>
                <w:szCs w:val="20"/>
                <w:lang w:val="en-US" w:eastAsia="zh-CN"/>
              </w:rPr>
            </w:pPr>
            <w:r>
              <w:rPr>
                <w:rFonts w:hint="eastAsia" w:ascii="仿宋_GB2312" w:hAnsi="仿宋_GB2312" w:eastAsia="仿宋_GB2312" w:cs="仿宋_GB2312"/>
                <w:b w:val="0"/>
                <w:bCs w:val="0"/>
                <w:sz w:val="20"/>
                <w:szCs w:val="20"/>
                <w:lang w:val="en-US" w:eastAsia="zh-CN"/>
              </w:rPr>
              <w:t>少于2天（次），线上服务时间每月不得少于3天（次），并能提供</w:t>
            </w:r>
          </w:p>
          <w:p w14:paraId="6775C7E5">
            <w:pPr>
              <w:keepNext w:val="0"/>
              <w:keepLines w:val="0"/>
              <w:widowControl/>
              <w:shd w:val="clear"/>
              <w:bidi w:val="0"/>
              <w:spacing w:before="0" w:after="0" w:line="260" w:lineRule="atLeast"/>
              <w:ind w:left="0" w:right="0" w:firstLine="200" w:firstLineChars="100"/>
              <w:jc w:val="left"/>
              <w:rPr>
                <w:rFonts w:hint="eastAsia" w:ascii="仿宋_GB2312" w:hAnsi="仿宋_GB2312" w:eastAsia="仿宋_GB2312" w:cs="仿宋_GB2312"/>
                <w:b w:val="0"/>
                <w:bCs w:val="0"/>
                <w:sz w:val="20"/>
                <w:szCs w:val="20"/>
                <w:lang w:val="en-US" w:eastAsia="zh-CN"/>
              </w:rPr>
            </w:pPr>
            <w:r>
              <w:rPr>
                <w:rFonts w:hint="eastAsia" w:ascii="仿宋_GB2312" w:hAnsi="仿宋_GB2312" w:eastAsia="仿宋_GB2312" w:cs="仿宋_GB2312"/>
                <w:b w:val="0"/>
                <w:bCs w:val="0"/>
                <w:sz w:val="20"/>
                <w:szCs w:val="20"/>
                <w:lang w:val="en-US" w:eastAsia="zh-CN"/>
              </w:rPr>
              <w:t>指导服务日志和图片，得20分，每少1次扣4分。</w:t>
            </w:r>
          </w:p>
          <w:p w14:paraId="3C036FD9">
            <w:pPr>
              <w:keepNext w:val="0"/>
              <w:keepLines w:val="0"/>
              <w:widowControl/>
              <w:shd w:val="clear"/>
              <w:bidi w:val="0"/>
              <w:spacing w:before="0" w:after="0" w:line="260" w:lineRule="atLeast"/>
              <w:ind w:left="0" w:right="0" w:firstLine="0"/>
              <w:jc w:val="left"/>
              <w:rPr>
                <w:rFonts w:hint="eastAsia" w:ascii="仿宋_GB2312" w:hAnsi="仿宋_GB2312" w:eastAsia="仿宋_GB2312" w:cs="仿宋_GB2312"/>
                <w:b w:val="0"/>
                <w:bCs w:val="0"/>
                <w:sz w:val="20"/>
                <w:szCs w:val="20"/>
                <w:lang w:val="en-US" w:eastAsia="zh-CN"/>
              </w:rPr>
            </w:pPr>
            <w:r>
              <w:rPr>
                <w:rFonts w:hint="eastAsia" w:ascii="仿宋_GB2312" w:hAnsi="仿宋_GB2312" w:eastAsia="仿宋_GB2312" w:cs="仿宋_GB2312"/>
                <w:b w:val="0"/>
                <w:bCs w:val="0"/>
                <w:sz w:val="20"/>
                <w:szCs w:val="20"/>
                <w:lang w:val="en-US" w:eastAsia="zh-CN"/>
              </w:rPr>
              <w:t>2.农业经营主体技术骨干、乡土人才聘期内线下服务时间每月不得少于</w:t>
            </w:r>
          </w:p>
          <w:p w14:paraId="17F52214">
            <w:pPr>
              <w:keepNext w:val="0"/>
              <w:keepLines w:val="0"/>
              <w:widowControl/>
              <w:shd w:val="clear"/>
              <w:bidi w:val="0"/>
              <w:spacing w:before="0" w:after="0" w:line="260" w:lineRule="atLeast"/>
              <w:ind w:left="0" w:right="0" w:firstLine="200" w:firstLineChars="10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5天（次），并提供指导服务日志和图片，得20分，每少1次扣4分。</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59DF857E">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6735BCF2">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034CBA65">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5F64E6A7">
        <w:tblPrEx>
          <w:tblCellMar>
            <w:top w:w="0" w:type="dxa"/>
            <w:left w:w="0" w:type="dxa"/>
            <w:bottom w:w="0" w:type="dxa"/>
            <w:right w:w="0" w:type="dxa"/>
          </w:tblCellMar>
        </w:tblPrEx>
        <w:trPr>
          <w:trHeight w:val="459" w:hRule="atLeast"/>
        </w:trPr>
        <w:tc>
          <w:tcPr>
            <w:tcW w:w="1019" w:type="dxa"/>
            <w:vMerge w:val="continue"/>
            <w:tcBorders>
              <w:left w:val="single" w:color="000000" w:sz="4" w:space="0"/>
              <w:bottom w:val="single" w:color="auto" w:sz="4" w:space="0"/>
              <w:right w:val="single" w:color="000000" w:sz="4" w:space="0"/>
            </w:tcBorders>
            <w:shd w:val="clear" w:color="auto" w:fill="auto"/>
            <w:tcMar>
              <w:top w:w="10" w:type="dxa"/>
              <w:left w:w="10" w:type="dxa"/>
              <w:bottom w:w="0" w:type="dxa"/>
              <w:right w:w="10" w:type="dxa"/>
            </w:tcMar>
            <w:vAlign w:val="center"/>
          </w:tcPr>
          <w:p w14:paraId="3314F473">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single" w:color="000000" w:sz="4" w:space="0"/>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54697BC9">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绩</w:t>
            </w:r>
          </w:p>
          <w:p w14:paraId="67D785EC">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（5分）</w:t>
            </w:r>
          </w:p>
        </w:tc>
        <w:tc>
          <w:tcPr>
            <w:tcW w:w="6248" w:type="dxa"/>
            <w:tcBorders>
              <w:top w:val="single" w:color="000000" w:sz="4" w:space="0"/>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3A70FA0B">
            <w:pPr>
              <w:keepNext w:val="0"/>
              <w:keepLines w:val="0"/>
              <w:widowControl/>
              <w:shd w:val="clear" w:color="auto" w:fill="auto"/>
              <w:bidi w:val="0"/>
              <w:spacing w:before="0" w:after="0" w:line="260" w:lineRule="atLeast"/>
              <w:ind w:right="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带动特色主导产业发展成效显著、较显著、一般的，分别给予5分、4分、3分。</w:t>
            </w:r>
          </w:p>
        </w:tc>
        <w:tc>
          <w:tcPr>
            <w:tcW w:w="3180" w:type="dxa"/>
            <w:tcBorders>
              <w:top w:val="nil"/>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6818A378">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0EE6F363">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2E98CF4F">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3D231B51">
        <w:tblPrEx>
          <w:tblCellMar>
            <w:top w:w="0" w:type="dxa"/>
            <w:left w:w="0" w:type="dxa"/>
            <w:bottom w:w="0" w:type="dxa"/>
            <w:right w:w="0" w:type="dxa"/>
          </w:tblCellMar>
        </w:tblPrEx>
        <w:trPr>
          <w:trHeight w:val="785" w:hRule="atLeast"/>
        </w:trPr>
        <w:tc>
          <w:tcPr>
            <w:tcW w:w="1019"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3BBF9ED9">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业务考评</w:t>
            </w:r>
          </w:p>
          <w:p w14:paraId="1ACE4B0C">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（30分）</w:t>
            </w:r>
          </w:p>
        </w:tc>
        <w:tc>
          <w:tcPr>
            <w:tcW w:w="1612"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2C358F6F">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服务基地建设</w:t>
            </w:r>
          </w:p>
          <w:p w14:paraId="0C595D59">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（15分）</w:t>
            </w:r>
          </w:p>
        </w:tc>
        <w:tc>
          <w:tcPr>
            <w:tcW w:w="6248" w:type="dxa"/>
            <w:tcBorders>
              <w:top w:val="single" w:color="auto" w:sz="4" w:space="0"/>
              <w:left w:val="single" w:color="auto" w:sz="4" w:space="0"/>
              <w:bottom w:val="single" w:color="auto" w:sz="4" w:space="0"/>
              <w:right w:val="single" w:color="000000" w:sz="4" w:space="0"/>
            </w:tcBorders>
            <w:shd w:val="clear" w:color="auto" w:fill="auto"/>
            <w:tcMar>
              <w:top w:w="10" w:type="dxa"/>
              <w:left w:w="10" w:type="dxa"/>
              <w:bottom w:w="0" w:type="dxa"/>
              <w:right w:w="10" w:type="dxa"/>
            </w:tcMar>
            <w:vAlign w:val="center"/>
          </w:tcPr>
          <w:p w14:paraId="42202863">
            <w:pPr>
              <w:keepNext w:val="0"/>
              <w:keepLines w:val="0"/>
              <w:widowControl/>
              <w:shd w:val="clear"/>
              <w:bidi w:val="0"/>
              <w:spacing w:before="0" w:after="0" w:line="260" w:lineRule="atLeast"/>
              <w:ind w:right="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服务一个粮油生产示范基地或特色产业示范基地，得10分；按照示范带动作用“显著”“较显著”“一般”三个档次，分别给予5分、4分、3分。</w:t>
            </w:r>
          </w:p>
        </w:tc>
        <w:tc>
          <w:tcPr>
            <w:tcW w:w="3180" w:type="dxa"/>
            <w:tcBorders>
              <w:top w:val="single" w:color="auto" w:sz="4" w:space="0"/>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124304F3">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single" w:color="auto" w:sz="4" w:space="0"/>
              <w:left w:val="nil"/>
              <w:bottom w:val="single" w:color="auto" w:sz="4" w:space="0"/>
              <w:right w:val="single" w:color="000000" w:sz="4" w:space="0"/>
            </w:tcBorders>
            <w:shd w:val="clear" w:color="auto" w:fill="auto"/>
            <w:tcMar>
              <w:top w:w="10" w:type="dxa"/>
              <w:left w:w="10" w:type="dxa"/>
              <w:bottom w:w="0" w:type="dxa"/>
              <w:right w:w="10" w:type="dxa"/>
            </w:tcMar>
            <w:vAlign w:val="center"/>
          </w:tcPr>
          <w:p w14:paraId="3B52A480">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single" w:color="auto" w:sz="4" w:space="0"/>
              <w:left w:val="nil"/>
              <w:bottom w:val="single" w:color="auto" w:sz="4" w:space="0"/>
              <w:right w:val="single" w:color="auto" w:sz="4" w:space="0"/>
            </w:tcBorders>
            <w:shd w:val="clear" w:color="auto" w:fill="auto"/>
            <w:tcMar>
              <w:top w:w="10" w:type="dxa"/>
              <w:left w:w="10" w:type="dxa"/>
              <w:bottom w:w="0" w:type="dxa"/>
              <w:right w:w="10" w:type="dxa"/>
            </w:tcMar>
            <w:vAlign w:val="center"/>
          </w:tcPr>
          <w:p w14:paraId="51CD448A">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31328219">
        <w:tblPrEx>
          <w:tblCellMar>
            <w:top w:w="0" w:type="dxa"/>
            <w:left w:w="0" w:type="dxa"/>
            <w:bottom w:w="0" w:type="dxa"/>
            <w:right w:w="0" w:type="dxa"/>
          </w:tblCellMar>
        </w:tblPrEx>
        <w:trPr>
          <w:trHeight w:val="562" w:hRule="atLeast"/>
        </w:trPr>
        <w:tc>
          <w:tcPr>
            <w:tcW w:w="101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6625C338">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2A9A8177">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服务示范体 </w:t>
            </w:r>
          </w:p>
          <w:p w14:paraId="70C9E21E">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w:t>
            </w:r>
            <w:r>
              <w:rPr>
                <w:rFonts w:hint="eastAsia" w:ascii="黑体" w:hAnsi="黑体" w:eastAsia="黑体" w:cs="黑体"/>
                <w:b w:val="0"/>
                <w:bCs w:val="0"/>
                <w:spacing w:val="0"/>
                <w:w w:val="100"/>
                <w:kern w:val="0"/>
                <w:position w:val="0"/>
                <w:sz w:val="21"/>
                <w:szCs w:val="21"/>
                <w:shd w:val="clear"/>
                <w:lang w:val="en-US" w:eastAsia="zh-CN" w:bidi="ar-SA"/>
              </w:rPr>
              <w:t>5</w:t>
            </w:r>
            <w:r>
              <w:rPr>
                <w:rFonts w:hint="eastAsia" w:ascii="黑体" w:hAnsi="黑体" w:eastAsia="黑体" w:cs="黑体"/>
                <w:b w:val="0"/>
                <w:bCs w:val="0"/>
                <w:spacing w:val="0"/>
                <w:w w:val="100"/>
                <w:kern w:val="0"/>
                <w:position w:val="0"/>
                <w:sz w:val="21"/>
                <w:szCs w:val="21"/>
                <w:shd w:val="clear"/>
                <w:lang w:eastAsia="zh-CN" w:bidi="ar-SA"/>
              </w:rPr>
              <w:t>分）</w:t>
            </w:r>
          </w:p>
        </w:tc>
        <w:tc>
          <w:tcPr>
            <w:tcW w:w="6248" w:type="dxa"/>
            <w:tcBorders>
              <w:top w:val="single" w:color="auto" w:sz="4" w:space="0"/>
              <w:left w:val="single" w:color="auto" w:sz="4" w:space="0"/>
              <w:bottom w:val="single" w:color="000000" w:sz="4" w:space="0"/>
              <w:right w:val="single" w:color="000000" w:sz="4" w:space="0"/>
            </w:tcBorders>
            <w:shd w:val="clear" w:color="auto" w:fill="auto"/>
            <w:tcMar>
              <w:top w:w="10" w:type="dxa"/>
              <w:left w:w="10" w:type="dxa"/>
              <w:bottom w:w="0" w:type="dxa"/>
              <w:right w:w="10" w:type="dxa"/>
            </w:tcMar>
            <w:vAlign w:val="center"/>
          </w:tcPr>
          <w:p w14:paraId="07D4D07B">
            <w:pPr>
              <w:keepNext w:val="0"/>
              <w:keepLines w:val="0"/>
              <w:widowControl/>
              <w:shd w:val="clear"/>
              <w:bidi w:val="0"/>
              <w:spacing w:before="0" w:after="0" w:line="260" w:lineRule="atLeast"/>
              <w:ind w:right="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服务5个科技示范主体得15分，每少一个扣3分。</w:t>
            </w:r>
          </w:p>
        </w:tc>
        <w:tc>
          <w:tcPr>
            <w:tcW w:w="3180" w:type="dxa"/>
            <w:tcBorders>
              <w:top w:val="single" w:color="auto"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2C050528">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single" w:color="auto"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58278CEE">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single" w:color="auto" w:sz="4" w:space="0"/>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093EA75A">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27482884">
        <w:tblPrEx>
          <w:tblCellMar>
            <w:top w:w="0" w:type="dxa"/>
            <w:left w:w="0" w:type="dxa"/>
            <w:bottom w:w="0" w:type="dxa"/>
            <w:right w:w="0" w:type="dxa"/>
          </w:tblCellMar>
        </w:tblPrEx>
        <w:trPr>
          <w:trHeight w:val="561" w:hRule="atLeast"/>
        </w:trPr>
        <w:tc>
          <w:tcPr>
            <w:tcW w:w="1019"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2C345C60">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服务对</w:t>
            </w:r>
          </w:p>
          <w:p w14:paraId="68324B78">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象测评</w:t>
            </w:r>
          </w:p>
          <w:p w14:paraId="320F3275">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（30分）</w:t>
            </w:r>
          </w:p>
        </w:tc>
        <w:tc>
          <w:tcPr>
            <w:tcW w:w="1612" w:type="dxa"/>
            <w:tcBorders>
              <w:top w:val="single" w:color="auto" w:sz="4" w:space="0"/>
              <w:left w:val="single" w:color="auto" w:sz="4" w:space="0"/>
              <w:bottom w:val="single" w:color="000000" w:sz="4" w:space="0"/>
              <w:right w:val="single" w:color="000000" w:sz="4" w:space="0"/>
            </w:tcBorders>
            <w:shd w:val="clear" w:color="auto" w:fill="auto"/>
            <w:tcMar>
              <w:top w:w="10" w:type="dxa"/>
              <w:left w:w="10" w:type="dxa"/>
              <w:bottom w:w="0" w:type="dxa"/>
              <w:right w:w="10" w:type="dxa"/>
            </w:tcMar>
            <w:vAlign w:val="center"/>
          </w:tcPr>
          <w:p w14:paraId="06A9E530">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服务态度</w:t>
            </w:r>
          </w:p>
          <w:p w14:paraId="5C078308">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（10分）</w:t>
            </w:r>
          </w:p>
        </w:tc>
        <w:tc>
          <w:tcPr>
            <w:tcW w:w="6248"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2F537C9B">
            <w:pPr>
              <w:keepNext w:val="0"/>
              <w:keepLines w:val="0"/>
              <w:widowControl/>
              <w:shd w:val="clear"/>
              <w:bidi w:val="0"/>
              <w:spacing w:before="0" w:after="0" w:line="260" w:lineRule="atLeast"/>
              <w:ind w:left="0" w:right="0" w:firstLine="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按“满意”“比较满意”“一般”三个档次，分别得10分、8分、6分。</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4FDEBE1F">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333B39E1">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1C97117">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7B1B6F11">
        <w:tblPrEx>
          <w:tblCellMar>
            <w:top w:w="0" w:type="dxa"/>
            <w:left w:w="0" w:type="dxa"/>
            <w:bottom w:w="0" w:type="dxa"/>
            <w:right w:w="0" w:type="dxa"/>
          </w:tblCellMar>
        </w:tblPrEx>
        <w:trPr>
          <w:trHeight w:val="520" w:hRule="atLeast"/>
        </w:trPr>
        <w:tc>
          <w:tcPr>
            <w:tcW w:w="101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249A5001">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nil"/>
              <w:left w:val="single" w:color="auto" w:sz="4" w:space="0"/>
              <w:bottom w:val="single" w:color="000000" w:sz="4" w:space="0"/>
              <w:right w:val="single" w:color="000000" w:sz="4" w:space="0"/>
            </w:tcBorders>
            <w:shd w:val="clear" w:color="auto" w:fill="auto"/>
            <w:tcMar>
              <w:top w:w="10" w:type="dxa"/>
              <w:left w:w="10" w:type="dxa"/>
              <w:bottom w:w="0" w:type="dxa"/>
              <w:right w:w="10" w:type="dxa"/>
            </w:tcMar>
            <w:vAlign w:val="center"/>
          </w:tcPr>
          <w:p w14:paraId="16AD4573">
            <w:pPr>
              <w:keepNext w:val="0"/>
              <w:keepLines w:val="0"/>
              <w:widowControl/>
              <w:shd w:val="clear" w:color="auto" w:fill="auto"/>
              <w:bidi w:val="0"/>
              <w:spacing w:before="0" w:after="0" w:line="260" w:lineRule="atLeast"/>
              <w:ind w:left="0" w:right="0" w:firstLine="0"/>
              <w:jc w:val="center"/>
              <w:rPr>
                <w:rFonts w:hint="eastAsia" w:ascii="宋体" w:hAnsi="宋体" w:eastAsia="宋体" w:cs="宋体"/>
                <w:spacing w:val="0"/>
                <w:w w:val="100"/>
                <w:kern w:val="0"/>
                <w:position w:val="0"/>
                <w:sz w:val="20"/>
                <w:szCs w:val="18"/>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技术服务或培训（10分）</w:t>
            </w:r>
          </w:p>
        </w:tc>
        <w:tc>
          <w:tcPr>
            <w:tcW w:w="6248"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1F6A3EF">
            <w:pPr>
              <w:keepNext w:val="0"/>
              <w:keepLines w:val="0"/>
              <w:widowControl/>
              <w:shd w:val="clear" w:color="auto" w:fill="auto"/>
              <w:bidi w:val="0"/>
              <w:spacing w:before="0" w:after="0" w:line="260" w:lineRule="atLeast"/>
              <w:ind w:left="0" w:right="0" w:firstLine="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pacing w:val="0"/>
                <w:w w:val="100"/>
                <w:kern w:val="0"/>
                <w:position w:val="0"/>
                <w:sz w:val="20"/>
                <w:szCs w:val="20"/>
                <w:shd w:val="clear"/>
                <w:lang w:eastAsia="zh-CN" w:bidi="ar-SA"/>
              </w:rPr>
              <w:t>按</w:t>
            </w:r>
            <w:r>
              <w:rPr>
                <w:rFonts w:hint="eastAsia" w:ascii="仿宋_GB2312" w:hAnsi="仿宋_GB2312" w:eastAsia="仿宋_GB2312" w:cs="仿宋_GB2312"/>
                <w:b w:val="0"/>
                <w:bCs w:val="0"/>
                <w:spacing w:val="0"/>
                <w:w w:val="100"/>
                <w:kern w:val="0"/>
                <w:position w:val="0"/>
                <w:sz w:val="20"/>
                <w:szCs w:val="20"/>
                <w:shd w:val="clear"/>
                <w:lang w:val="en-US" w:eastAsia="zh-CN" w:bidi="ar-SA"/>
              </w:rPr>
              <w:t>“满意”“比较满意”“一般”三个档次，</w:t>
            </w:r>
            <w:r>
              <w:rPr>
                <w:rFonts w:hint="eastAsia" w:ascii="仿宋_GB2312" w:hAnsi="仿宋_GB2312" w:eastAsia="仿宋_GB2312" w:cs="仿宋_GB2312"/>
                <w:b w:val="0"/>
                <w:bCs w:val="0"/>
                <w:spacing w:val="0"/>
                <w:w w:val="100"/>
                <w:kern w:val="0"/>
                <w:position w:val="0"/>
                <w:sz w:val="20"/>
                <w:szCs w:val="20"/>
                <w:shd w:val="clear"/>
                <w:lang w:eastAsia="zh-CN" w:bidi="ar-SA"/>
              </w:rPr>
              <w:t>分别得10分、8分、6分。</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47B8F22D">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6E50D653">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4195FFB">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176ECAE0">
        <w:tblPrEx>
          <w:tblCellMar>
            <w:top w:w="0" w:type="dxa"/>
            <w:left w:w="0" w:type="dxa"/>
            <w:bottom w:w="0" w:type="dxa"/>
            <w:right w:w="0" w:type="dxa"/>
          </w:tblCellMar>
        </w:tblPrEx>
        <w:trPr>
          <w:trHeight w:val="545" w:hRule="atLeast"/>
        </w:trPr>
        <w:tc>
          <w:tcPr>
            <w:tcW w:w="101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bottom w:w="0" w:type="dxa"/>
              <w:right w:w="10" w:type="dxa"/>
            </w:tcMar>
            <w:vAlign w:val="center"/>
          </w:tcPr>
          <w:p w14:paraId="4A3F0C96">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p>
        </w:tc>
        <w:tc>
          <w:tcPr>
            <w:tcW w:w="1612" w:type="dxa"/>
            <w:tcBorders>
              <w:top w:val="nil"/>
              <w:left w:val="single" w:color="auto" w:sz="4" w:space="0"/>
              <w:bottom w:val="single" w:color="000000" w:sz="4" w:space="0"/>
              <w:right w:val="single" w:color="000000" w:sz="4" w:space="0"/>
            </w:tcBorders>
            <w:shd w:val="clear" w:color="auto" w:fill="auto"/>
            <w:tcMar>
              <w:top w:w="10" w:type="dxa"/>
              <w:left w:w="10" w:type="dxa"/>
              <w:bottom w:w="0" w:type="dxa"/>
              <w:right w:w="10" w:type="dxa"/>
            </w:tcMar>
            <w:vAlign w:val="center"/>
          </w:tcPr>
          <w:p w14:paraId="697AC608">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信息咨询</w:t>
            </w:r>
          </w:p>
          <w:p w14:paraId="366CED09">
            <w:pPr>
              <w:keepNext w:val="0"/>
              <w:keepLines w:val="0"/>
              <w:widowControl/>
              <w:shd w:val="clear"/>
              <w:bidi w:val="0"/>
              <w:spacing w:before="0" w:after="0" w:line="260" w:lineRule="atLeast"/>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（10分）</w:t>
            </w:r>
          </w:p>
        </w:tc>
        <w:tc>
          <w:tcPr>
            <w:tcW w:w="6248"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16EDC333">
            <w:pPr>
              <w:keepNext w:val="0"/>
              <w:keepLines w:val="0"/>
              <w:widowControl/>
              <w:shd w:val="clear"/>
              <w:bidi w:val="0"/>
              <w:spacing w:before="0" w:after="0" w:line="260" w:lineRule="atLeast"/>
              <w:ind w:left="0" w:right="0" w:firstLine="0"/>
              <w:jc w:val="left"/>
              <w:rPr>
                <w:rFonts w:hint="eastAsia" w:ascii="仿宋_GB2312" w:hAnsi="仿宋_GB2312" w:eastAsia="仿宋_GB2312" w:cs="仿宋_GB2312"/>
                <w:b w:val="0"/>
                <w:bCs w:val="0"/>
                <w:spacing w:val="0"/>
                <w:w w:val="100"/>
                <w:kern w:val="0"/>
                <w:position w:val="0"/>
                <w:sz w:val="20"/>
                <w:szCs w:val="20"/>
                <w:shd w:val="clear"/>
                <w:lang w:eastAsia="zh-CN" w:bidi="ar-SA"/>
              </w:rPr>
            </w:pPr>
            <w:r>
              <w:rPr>
                <w:rFonts w:hint="eastAsia" w:ascii="仿宋_GB2312" w:hAnsi="仿宋_GB2312" w:eastAsia="仿宋_GB2312" w:cs="仿宋_GB2312"/>
                <w:b w:val="0"/>
                <w:bCs w:val="0"/>
                <w:sz w:val="20"/>
                <w:szCs w:val="20"/>
                <w:lang w:val="en-US" w:eastAsia="zh-CN"/>
              </w:rPr>
              <w:t>按“满意”“比较满意”“一般”三个档次，分别得10分、8分、6分。</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21CBE3B2">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3250801F">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567472E9">
            <w:pPr>
              <w:keepNext w:val="0"/>
              <w:keepLines w:val="0"/>
              <w:widowControl/>
              <w:shd w:val="clear"/>
              <w:bidi w:val="0"/>
              <w:spacing w:before="0" w:after="0" w:line="260" w:lineRule="atLeast"/>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r>
      <w:tr w14:paraId="000D417B">
        <w:tblPrEx>
          <w:tblCellMar>
            <w:top w:w="0" w:type="dxa"/>
            <w:left w:w="0" w:type="dxa"/>
            <w:bottom w:w="0" w:type="dxa"/>
            <w:right w:w="0" w:type="dxa"/>
          </w:tblCellMar>
        </w:tblPrEx>
        <w:trPr>
          <w:trHeight w:val="640" w:hRule="atLeast"/>
        </w:trPr>
        <w:tc>
          <w:tcPr>
            <w:tcW w:w="1019" w:type="dxa"/>
            <w:tcBorders>
              <w:top w:val="single" w:color="auto" w:sz="4" w:space="0"/>
              <w:left w:val="single" w:color="000000" w:sz="4" w:space="0"/>
              <w:bottom w:val="single" w:color="000000" w:sz="4" w:space="0"/>
              <w:right w:val="single" w:color="000000" w:sz="4" w:space="0"/>
            </w:tcBorders>
            <w:shd w:val="clear" w:color="auto" w:fill="auto"/>
            <w:tcMar>
              <w:top w:w="10" w:type="dxa"/>
              <w:left w:w="10" w:type="dxa"/>
              <w:bottom w:w="0" w:type="dxa"/>
              <w:right w:w="10" w:type="dxa"/>
            </w:tcMar>
            <w:vAlign w:val="center"/>
          </w:tcPr>
          <w:p w14:paraId="14E48D9D">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合计</w:t>
            </w:r>
          </w:p>
        </w:tc>
        <w:tc>
          <w:tcPr>
            <w:tcW w:w="1612"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047940D3">
            <w:pPr>
              <w:keepNext w:val="0"/>
              <w:keepLines w:val="0"/>
              <w:widowControl/>
              <w:shd w:val="clear"/>
              <w:bidi w:val="0"/>
              <w:spacing w:before="0" w:after="0" w:line="240" w:lineRule="auto"/>
              <w:ind w:left="0" w:right="0" w:firstLine="0"/>
              <w:jc w:val="center"/>
              <w:rPr>
                <w:rFonts w:hint="eastAsia" w:ascii="黑体" w:hAnsi="黑体" w:eastAsia="黑体" w:cs="黑体"/>
                <w:b w:val="0"/>
                <w:bCs w:val="0"/>
                <w:spacing w:val="0"/>
                <w:w w:val="100"/>
                <w:kern w:val="0"/>
                <w:position w:val="0"/>
                <w:sz w:val="21"/>
                <w:szCs w:val="21"/>
                <w:shd w:val="clear"/>
                <w:lang w:eastAsia="zh-CN" w:bidi="ar-SA"/>
              </w:rPr>
            </w:pPr>
            <w:r>
              <w:rPr>
                <w:rFonts w:hint="eastAsia" w:ascii="黑体" w:hAnsi="黑体" w:eastAsia="黑体" w:cs="黑体"/>
                <w:b w:val="0"/>
                <w:bCs w:val="0"/>
                <w:spacing w:val="0"/>
                <w:w w:val="100"/>
                <w:kern w:val="0"/>
                <w:position w:val="0"/>
                <w:sz w:val="21"/>
                <w:szCs w:val="21"/>
                <w:shd w:val="clear"/>
                <w:lang w:eastAsia="zh-CN" w:bidi="ar-SA"/>
              </w:rPr>
              <w:t>100分</w:t>
            </w:r>
          </w:p>
        </w:tc>
        <w:tc>
          <w:tcPr>
            <w:tcW w:w="6248"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211488ED">
            <w:pPr>
              <w:keepNext w:val="0"/>
              <w:keepLines w:val="0"/>
              <w:widowControl/>
              <w:shd w:val="clear"/>
              <w:bidi w:val="0"/>
              <w:spacing w:before="0" w:after="0" w:line="240" w:lineRule="auto"/>
              <w:ind w:left="0" w:right="0" w:firstLine="0"/>
              <w:jc w:val="left"/>
              <w:rPr>
                <w:rFonts w:ascii="宋体" w:hAnsi="宋体" w:eastAsia="宋体" w:cs="宋体"/>
                <w:spacing w:val="0"/>
                <w:w w:val="100"/>
                <w:kern w:val="0"/>
                <w:position w:val="0"/>
                <w:sz w:val="18"/>
                <w:szCs w:val="18"/>
                <w:shd w:val="clear"/>
                <w:lang w:eastAsia="zh-CN" w:bidi="ar-SA"/>
              </w:rPr>
            </w:pPr>
            <w:r>
              <w:rPr>
                <w:rFonts w:hint="eastAsia" w:ascii="宋体" w:hAnsi="宋体" w:eastAsia="宋体" w:cs="宋体"/>
                <w:spacing w:val="0"/>
                <w:w w:val="100"/>
                <w:kern w:val="0"/>
                <w:position w:val="0"/>
                <w:sz w:val="21"/>
                <w:szCs w:val="21"/>
                <w:shd w:val="clear"/>
                <w:lang w:eastAsia="zh-CN" w:bidi="ar-SA"/>
              </w:rPr>
              <w:t>　</w:t>
            </w:r>
          </w:p>
        </w:tc>
        <w:tc>
          <w:tcPr>
            <w:tcW w:w="3180"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47BBE1E5">
            <w:pPr>
              <w:keepNext w:val="0"/>
              <w:keepLines w:val="0"/>
              <w:widowControl/>
              <w:shd w:val="clear"/>
              <w:bidi w:val="0"/>
              <w:spacing w:before="0" w:after="0" w:line="240" w:lineRule="auto"/>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18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9C13B1F">
            <w:pPr>
              <w:keepNext w:val="0"/>
              <w:keepLines w:val="0"/>
              <w:widowControl/>
              <w:shd w:val="clear"/>
              <w:bidi w:val="0"/>
              <w:spacing w:before="0" w:after="0" w:line="240" w:lineRule="auto"/>
              <w:ind w:left="0" w:right="0" w:firstLine="0"/>
              <w:jc w:val="left"/>
              <w:rPr>
                <w:rFonts w:ascii="宋体" w:hAnsi="宋体" w:eastAsia="宋体" w:cs="宋体"/>
                <w:spacing w:val="0"/>
                <w:w w:val="100"/>
                <w:kern w:val="0"/>
                <w:position w:val="0"/>
                <w:sz w:val="18"/>
                <w:szCs w:val="18"/>
                <w:shd w:val="clear"/>
                <w:lang w:eastAsia="zh-CN" w:bidi="ar-SA"/>
              </w:rPr>
            </w:pPr>
            <w:r>
              <w:rPr>
                <w:rFonts w:ascii="宋体" w:hAnsi="宋体" w:eastAsia="宋体" w:cs="宋体"/>
                <w:spacing w:val="0"/>
                <w:w w:val="100"/>
                <w:kern w:val="0"/>
                <w:position w:val="0"/>
                <w:sz w:val="18"/>
                <w:szCs w:val="18"/>
                <w:shd w:val="clear"/>
                <w:lang w:eastAsia="zh-CN" w:bidi="ar-SA"/>
              </w:rPr>
              <w:t> </w:t>
            </w:r>
          </w:p>
        </w:tc>
        <w:tc>
          <w:tcPr>
            <w:tcW w:w="1395" w:type="dxa"/>
            <w:tcBorders>
              <w:top w:val="nil"/>
              <w:left w:val="nil"/>
              <w:bottom w:val="single" w:color="000000" w:sz="4" w:space="0"/>
              <w:right w:val="single" w:color="000000" w:sz="4" w:space="0"/>
            </w:tcBorders>
            <w:shd w:val="clear" w:color="auto" w:fill="auto"/>
            <w:tcMar>
              <w:top w:w="10" w:type="dxa"/>
              <w:left w:w="10" w:type="dxa"/>
              <w:bottom w:w="0" w:type="dxa"/>
              <w:right w:w="10" w:type="dxa"/>
            </w:tcMar>
            <w:vAlign w:val="center"/>
          </w:tcPr>
          <w:p w14:paraId="7C6D5ADE">
            <w:pPr>
              <w:keepNext w:val="0"/>
              <w:keepLines w:val="0"/>
              <w:widowControl/>
              <w:shd w:val="clear"/>
              <w:bidi w:val="0"/>
              <w:spacing w:before="0" w:after="0" w:line="240" w:lineRule="auto"/>
              <w:ind w:left="0" w:right="0" w:firstLine="0"/>
              <w:jc w:val="left"/>
              <w:rPr>
                <w:rFonts w:ascii="宋体" w:hAnsi="宋体" w:eastAsia="宋体" w:cs="宋体"/>
                <w:spacing w:val="0"/>
                <w:w w:val="100"/>
                <w:kern w:val="0"/>
                <w:position w:val="0"/>
                <w:sz w:val="18"/>
                <w:szCs w:val="18"/>
                <w:shd w:val="clear"/>
                <w:lang w:eastAsia="zh-CN" w:bidi="ar-SA"/>
              </w:rPr>
            </w:pPr>
          </w:p>
        </w:tc>
      </w:tr>
    </w:tbl>
    <w:p w14:paraId="345C2D1A">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0" w:firstLineChars="0"/>
        <w:jc w:val="both"/>
        <w:textAlignment w:val="auto"/>
        <w:rPr>
          <w:rFonts w:hint="default" w:ascii="仿宋_GB2312" w:hAnsi="仿宋_GB2312" w:eastAsia="仿宋_GB2312" w:cs="仿宋_GB2312"/>
          <w:sz w:val="28"/>
          <w:szCs w:val="28"/>
          <w:lang w:val="en-US" w:eastAsia="zh-CN"/>
        </w:rPr>
      </w:pPr>
      <w:r>
        <w:rPr>
          <w:rFonts w:hint="eastAsia" w:ascii="黑体" w:hAnsi="黑体" w:eastAsia="黑体" w:cs="黑体"/>
          <w:sz w:val="28"/>
          <w:szCs w:val="28"/>
          <w:lang w:val="en-US" w:eastAsia="zh-CN"/>
        </w:rPr>
        <w:t>考评人员（签字）：</w:t>
      </w:r>
    </w:p>
    <w:sectPr>
      <w:footerReference r:id="rId6" w:type="default"/>
      <w:footnotePr>
        <w:numFmt w:val="decimal"/>
      </w:footnotePr>
      <w:pgSz w:w="16840" w:h="11900" w:orient="landscape"/>
      <w:pgMar w:top="1054" w:right="1406" w:bottom="1026" w:left="1799" w:header="978" w:footer="6" w:gutter="0"/>
      <w:pgNumType w:fmt="decimal"/>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DA4C8">
    <w:pPr>
      <w:widowControl w:val="0"/>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F15B70">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41F15B70">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2761F">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posOffset>-327660</wp:posOffset>
              </wp:positionH>
              <wp:positionV relativeFrom="margin">
                <wp:align>outside</wp:align>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9A0F3">
                          <w:pPr>
                            <w:pStyle w:val="4"/>
                            <w:rPr>
                              <w:rFonts w:ascii="宋体" w:hAnsi="宋体" w:eastAsia="宋体"/>
                              <w:sz w:val="28"/>
                            </w:rPr>
                          </w:pPr>
                        </w:p>
                      </w:txbxContent>
                    </wps:txbx>
                    <wps:bodyPr rot="0" spcFirstLastPara="0" vertOverflow="overflow" horzOverflow="overflow" vert="eaVert" wrap="none" lIns="0" tIns="203200" rIns="0" bIns="20320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8pt;height:144pt;width:144pt;mso-position-horizontal-relative:margin;mso-position-vertical:outside;mso-position-vertical-relative:margin;mso-wrap-style:none;z-index:251660288;mso-width-relative:page;mso-height-relative:page;" filled="f" stroked="f" coordsize="21600,21600" o:gfxdata="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5tpbXdYAAAAIAQAADwAAAAAAAAABACAAAAAiAAAAZHJzL2Rv&#10;d25yZXYueG1sUEsBAhQAFAAAAAgAh07iQEoGJGQ8AgAAbQQAAA4AAAAAAAAAAQAgAAAAJQEAAGRy&#10;cy9lMm9Eb2MueG1sUEsFBgAAAAAGAAYAWQEAANMFAAAAAA==&#10;">
              <v:fill on="f" focussize="0,0"/>
              <v:stroke on="f" weight="0.5pt"/>
              <v:imagedata o:title=""/>
              <o:lock v:ext="edit" aspectratio="f"/>
              <v:textbox inset="0mm,16pt,0mm,16pt" style="layout-flow:vertical-ideographic;mso-fit-shape-to-text:t;">
                <w:txbxContent>
                  <w:p w14:paraId="7049A0F3">
                    <w:pPr>
                      <w:pStyle w:val="4"/>
                      <w:rPr>
                        <w:rFonts w:ascii="宋体" w:hAnsi="宋体" w:eastAsia="宋体"/>
                        <w:sz w:val="2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balanceSingleByteDoubleByteWidth/>
    <w:doNotExpandShiftReturn/>
    <w:doNotWrapTextWithPunct/>
    <w:doNotUseEastAsianBreakRules/>
    <w:useFELayout/>
    <w:doNotUseIndentAsNumberingTabStop/>
    <w:useAltKinsokuLineBreakRules/>
    <w:compatSetting w:name="compatibilityMode" w:uri="http://schemas.microsoft.com/office/word" w:val="15"/>
  </w:compat>
  <w:docVars>
    <w:docVar w:name="commondata" w:val="eyJoZGlkIjoiNWJkZDdiZWRjYmRmNmI2ODJmMDVjNGFhMDc2MDNmMmUifQ=="/>
  </w:docVars>
  <w:rsids>
    <w:rsidRoot w:val="00000000"/>
    <w:rsid w:val="00612345"/>
    <w:rsid w:val="011B3C19"/>
    <w:rsid w:val="018362EB"/>
    <w:rsid w:val="02E1151B"/>
    <w:rsid w:val="042532DE"/>
    <w:rsid w:val="046C6D04"/>
    <w:rsid w:val="05E25CD6"/>
    <w:rsid w:val="073065CD"/>
    <w:rsid w:val="07F645C9"/>
    <w:rsid w:val="081E0A25"/>
    <w:rsid w:val="086C22C1"/>
    <w:rsid w:val="088B1038"/>
    <w:rsid w:val="097A4477"/>
    <w:rsid w:val="0B823867"/>
    <w:rsid w:val="0CCE5149"/>
    <w:rsid w:val="0E2055ED"/>
    <w:rsid w:val="0F1B4A58"/>
    <w:rsid w:val="0F735BF1"/>
    <w:rsid w:val="0F9600E8"/>
    <w:rsid w:val="0FAD74F2"/>
    <w:rsid w:val="0FFA6E5D"/>
    <w:rsid w:val="115979CD"/>
    <w:rsid w:val="115C6B0E"/>
    <w:rsid w:val="12C50511"/>
    <w:rsid w:val="12FB7FF3"/>
    <w:rsid w:val="13E946D3"/>
    <w:rsid w:val="146E6986"/>
    <w:rsid w:val="1497412F"/>
    <w:rsid w:val="151F5C05"/>
    <w:rsid w:val="170836E3"/>
    <w:rsid w:val="183F48C2"/>
    <w:rsid w:val="18920257"/>
    <w:rsid w:val="197B7B7C"/>
    <w:rsid w:val="1A824F3A"/>
    <w:rsid w:val="1CD75A11"/>
    <w:rsid w:val="1EC024D4"/>
    <w:rsid w:val="21A460DD"/>
    <w:rsid w:val="229862AE"/>
    <w:rsid w:val="23641680"/>
    <w:rsid w:val="24855D52"/>
    <w:rsid w:val="248A08C7"/>
    <w:rsid w:val="256E67E6"/>
    <w:rsid w:val="26272FA3"/>
    <w:rsid w:val="27BD7F71"/>
    <w:rsid w:val="29581C87"/>
    <w:rsid w:val="2AB7793B"/>
    <w:rsid w:val="2BAC026A"/>
    <w:rsid w:val="2C77062D"/>
    <w:rsid w:val="2D9D2E3E"/>
    <w:rsid w:val="2E0B0913"/>
    <w:rsid w:val="2F124686"/>
    <w:rsid w:val="2F3C7955"/>
    <w:rsid w:val="30204B81"/>
    <w:rsid w:val="319429AB"/>
    <w:rsid w:val="34DC620E"/>
    <w:rsid w:val="35E11362"/>
    <w:rsid w:val="364A2958"/>
    <w:rsid w:val="37533A8E"/>
    <w:rsid w:val="378E4919"/>
    <w:rsid w:val="380B4369"/>
    <w:rsid w:val="3838181B"/>
    <w:rsid w:val="39220E4F"/>
    <w:rsid w:val="396948F7"/>
    <w:rsid w:val="39D54C2E"/>
    <w:rsid w:val="3A233FDF"/>
    <w:rsid w:val="3B824942"/>
    <w:rsid w:val="3DD75419"/>
    <w:rsid w:val="3EFA42ED"/>
    <w:rsid w:val="3F2D72BA"/>
    <w:rsid w:val="40D84E87"/>
    <w:rsid w:val="42641245"/>
    <w:rsid w:val="43AF029E"/>
    <w:rsid w:val="47643C7B"/>
    <w:rsid w:val="48205C0E"/>
    <w:rsid w:val="4A1705EB"/>
    <w:rsid w:val="4A432ACB"/>
    <w:rsid w:val="4B1331CA"/>
    <w:rsid w:val="4B98746F"/>
    <w:rsid w:val="4C94788C"/>
    <w:rsid w:val="4D3D4B6D"/>
    <w:rsid w:val="4F304989"/>
    <w:rsid w:val="512631B2"/>
    <w:rsid w:val="53DF24DA"/>
    <w:rsid w:val="5411465D"/>
    <w:rsid w:val="54A61249"/>
    <w:rsid w:val="573C7C43"/>
    <w:rsid w:val="58AB5080"/>
    <w:rsid w:val="5C016A48"/>
    <w:rsid w:val="5ED26194"/>
    <w:rsid w:val="605D0196"/>
    <w:rsid w:val="60672923"/>
    <w:rsid w:val="63AB687C"/>
    <w:rsid w:val="65E73470"/>
    <w:rsid w:val="66707918"/>
    <w:rsid w:val="689A0C6D"/>
    <w:rsid w:val="6ABC123A"/>
    <w:rsid w:val="6B5275DD"/>
    <w:rsid w:val="6B8D18EF"/>
    <w:rsid w:val="6BFE0272"/>
    <w:rsid w:val="6C507FC1"/>
    <w:rsid w:val="6E851A78"/>
    <w:rsid w:val="6F0532E4"/>
    <w:rsid w:val="72DB7B34"/>
    <w:rsid w:val="74A11BB7"/>
    <w:rsid w:val="76F105F2"/>
    <w:rsid w:val="77444BC6"/>
    <w:rsid w:val="782E33DE"/>
    <w:rsid w:val="78D179E9"/>
    <w:rsid w:val="78D21D5D"/>
    <w:rsid w:val="793622EC"/>
    <w:rsid w:val="795B7C6C"/>
    <w:rsid w:val="796C3F60"/>
    <w:rsid w:val="7A8F3B44"/>
    <w:rsid w:val="7C105116"/>
    <w:rsid w:val="7C393DDB"/>
    <w:rsid w:val="7CCA50DF"/>
    <w:rsid w:val="7CEB4876"/>
    <w:rsid w:val="7D0E5A5A"/>
    <w:rsid w:val="7D40373A"/>
    <w:rsid w:val="7F34107C"/>
    <w:rsid w:val="7F6F5D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99"/>
    <w:pPr>
      <w:spacing w:beforeAutospacing="1" w:afterAutospacing="1"/>
      <w:jc w:val="left"/>
      <w:outlineLvl w:val="0"/>
    </w:pPr>
    <w:rPr>
      <w:rFonts w:ascii="宋体" w:hAnsi="宋体"/>
      <w:b/>
      <w:kern w:val="44"/>
      <w:sz w:val="48"/>
      <w:szCs w:val="48"/>
    </w:rPr>
  </w:style>
  <w:style w:type="character" w:default="1" w:styleId="8">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unhideWhenUsed/>
    <w:qFormat/>
    <w:uiPriority w:val="99"/>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2B2B2B"/>
      <w:u w:val="none"/>
    </w:rPr>
  </w:style>
  <w:style w:type="character" w:styleId="11">
    <w:name w:val="HTML Definition"/>
    <w:basedOn w:val="8"/>
    <w:qFormat/>
    <w:uiPriority w:val="0"/>
    <w:rPr>
      <w:i/>
    </w:rPr>
  </w:style>
  <w:style w:type="character" w:styleId="12">
    <w:name w:val="Hyperlink"/>
    <w:basedOn w:val="8"/>
    <w:qFormat/>
    <w:uiPriority w:val="0"/>
    <w:rPr>
      <w:color w:val="2B2B2B"/>
      <w:u w:val="none"/>
    </w:rPr>
  </w:style>
  <w:style w:type="character" w:styleId="13">
    <w:name w:val="HTML Code"/>
    <w:basedOn w:val="8"/>
    <w:qFormat/>
    <w:uiPriority w:val="0"/>
    <w:rPr>
      <w:rFonts w:ascii="Consolas" w:hAnsi="Consolas" w:eastAsia="Consolas" w:cs="Consolas"/>
      <w:color w:val="C7254E"/>
      <w:sz w:val="21"/>
      <w:szCs w:val="21"/>
      <w:shd w:val="clear" w:fill="F9F2F4"/>
    </w:rPr>
  </w:style>
  <w:style w:type="character" w:styleId="14">
    <w:name w:val="HTML Keyboard"/>
    <w:basedOn w:val="8"/>
    <w:qFormat/>
    <w:uiPriority w:val="0"/>
    <w:rPr>
      <w:rFonts w:hint="default" w:ascii="Consolas" w:hAnsi="Consolas" w:eastAsia="Consolas" w:cs="Consolas"/>
      <w:color w:val="FFFFFF"/>
      <w:sz w:val="21"/>
      <w:szCs w:val="21"/>
      <w:shd w:val="clear" w:fill="333333"/>
    </w:rPr>
  </w:style>
  <w:style w:type="character" w:styleId="15">
    <w:name w:val="HTML Sample"/>
    <w:basedOn w:val="8"/>
    <w:qFormat/>
    <w:uiPriority w:val="0"/>
    <w:rPr>
      <w:rFonts w:hint="default" w:ascii="Consolas" w:hAnsi="Consolas" w:eastAsia="Consolas" w:cs="Consolas"/>
      <w:sz w:val="21"/>
      <w:szCs w:val="21"/>
    </w:rPr>
  </w:style>
  <w:style w:type="character" w:customStyle="1" w:styleId="16">
    <w:name w:val="Heading #1|1_"/>
    <w:basedOn w:val="8"/>
    <w:link w:val="17"/>
    <w:qFormat/>
    <w:uiPriority w:val="0"/>
    <w:rPr>
      <w:rFonts w:ascii="宋体" w:hAnsi="宋体" w:eastAsia="宋体" w:cs="宋体"/>
      <w:color w:val="E0634B"/>
      <w:sz w:val="82"/>
      <w:szCs w:val="82"/>
      <w:u w:val="single"/>
      <w:shd w:val="clear" w:color="auto" w:fill="auto"/>
      <w:lang w:val="zh-TW" w:eastAsia="zh-TW" w:bidi="zh-TW"/>
    </w:rPr>
  </w:style>
  <w:style w:type="paragraph" w:customStyle="1" w:styleId="17">
    <w:name w:val="Heading #1|1"/>
    <w:basedOn w:val="1"/>
    <w:link w:val="16"/>
    <w:qFormat/>
    <w:uiPriority w:val="0"/>
    <w:pPr>
      <w:widowControl w:val="0"/>
      <w:shd w:val="clear" w:color="auto" w:fill="auto"/>
      <w:spacing w:after="640"/>
      <w:jc w:val="center"/>
      <w:outlineLvl w:val="0"/>
    </w:pPr>
    <w:rPr>
      <w:rFonts w:ascii="宋体" w:hAnsi="宋体" w:eastAsia="宋体" w:cs="宋体"/>
      <w:color w:val="E0634B"/>
      <w:sz w:val="82"/>
      <w:szCs w:val="82"/>
      <w:u w:val="single"/>
      <w:shd w:val="clear" w:color="auto" w:fill="auto"/>
      <w:lang w:val="zh-TW" w:eastAsia="zh-TW" w:bidi="zh-TW"/>
    </w:rPr>
  </w:style>
  <w:style w:type="character" w:customStyle="1" w:styleId="18">
    <w:name w:val="Body text|1_"/>
    <w:basedOn w:val="8"/>
    <w:link w:val="19"/>
    <w:qFormat/>
    <w:uiPriority w:val="0"/>
    <w:rPr>
      <w:rFonts w:ascii="宋体" w:hAnsi="宋体" w:eastAsia="宋体" w:cs="宋体"/>
      <w:sz w:val="30"/>
      <w:szCs w:val="30"/>
      <w:u w:val="none"/>
      <w:shd w:val="clear" w:color="auto" w:fill="auto"/>
      <w:lang w:val="zh-TW" w:eastAsia="zh-TW" w:bidi="zh-TW"/>
    </w:rPr>
  </w:style>
  <w:style w:type="paragraph" w:customStyle="1" w:styleId="19">
    <w:name w:val="Body text|1"/>
    <w:basedOn w:val="1"/>
    <w:link w:val="18"/>
    <w:qFormat/>
    <w:uiPriority w:val="0"/>
    <w:pPr>
      <w:widowControl w:val="0"/>
      <w:shd w:val="clear" w:color="auto" w:fill="auto"/>
      <w:spacing w:line="389" w:lineRule="auto"/>
      <w:ind w:firstLine="400"/>
    </w:pPr>
    <w:rPr>
      <w:rFonts w:ascii="宋体" w:hAnsi="宋体" w:eastAsia="宋体" w:cs="宋体"/>
      <w:sz w:val="30"/>
      <w:szCs w:val="30"/>
      <w:u w:val="none"/>
      <w:shd w:val="clear" w:color="auto" w:fill="auto"/>
      <w:lang w:val="zh-TW" w:eastAsia="zh-TW" w:bidi="zh-TW"/>
    </w:rPr>
  </w:style>
  <w:style w:type="character" w:customStyle="1" w:styleId="20">
    <w:name w:val="Heading #2|1_"/>
    <w:basedOn w:val="8"/>
    <w:link w:val="21"/>
    <w:qFormat/>
    <w:uiPriority w:val="0"/>
    <w:rPr>
      <w:rFonts w:ascii="宋体" w:hAnsi="宋体" w:eastAsia="宋体" w:cs="宋体"/>
      <w:sz w:val="42"/>
      <w:szCs w:val="42"/>
      <w:u w:val="none"/>
      <w:shd w:val="clear" w:color="auto" w:fill="auto"/>
      <w:lang w:val="zh-TW" w:eastAsia="zh-TW" w:bidi="zh-TW"/>
    </w:rPr>
  </w:style>
  <w:style w:type="paragraph" w:customStyle="1" w:styleId="21">
    <w:name w:val="Heading #2|1"/>
    <w:basedOn w:val="1"/>
    <w:link w:val="20"/>
    <w:qFormat/>
    <w:uiPriority w:val="0"/>
    <w:pPr>
      <w:widowControl w:val="0"/>
      <w:shd w:val="clear" w:color="auto" w:fill="auto"/>
      <w:spacing w:after="500" w:line="540" w:lineRule="exact"/>
      <w:jc w:val="center"/>
      <w:outlineLvl w:val="1"/>
    </w:pPr>
    <w:rPr>
      <w:rFonts w:ascii="宋体" w:hAnsi="宋体" w:eastAsia="宋体" w:cs="宋体"/>
      <w:sz w:val="42"/>
      <w:szCs w:val="42"/>
      <w:u w:val="none"/>
      <w:shd w:val="clear" w:color="auto" w:fill="auto"/>
      <w:lang w:val="zh-TW" w:eastAsia="zh-TW" w:bidi="zh-TW"/>
    </w:rPr>
  </w:style>
  <w:style w:type="character" w:customStyle="1" w:styleId="22">
    <w:name w:val="Header or footer|2_"/>
    <w:basedOn w:val="8"/>
    <w:link w:val="23"/>
    <w:qFormat/>
    <w:uiPriority w:val="0"/>
    <w:rPr>
      <w:sz w:val="20"/>
      <w:szCs w:val="20"/>
      <w:u w:val="none"/>
      <w:shd w:val="clear" w:color="auto" w:fill="auto"/>
      <w:lang w:val="zh-TW" w:eastAsia="zh-TW" w:bidi="zh-TW"/>
    </w:rPr>
  </w:style>
  <w:style w:type="paragraph" w:customStyle="1" w:styleId="23">
    <w:name w:val="Header or footer|2"/>
    <w:basedOn w:val="1"/>
    <w:link w:val="22"/>
    <w:qFormat/>
    <w:uiPriority w:val="0"/>
    <w:pPr>
      <w:widowControl w:val="0"/>
      <w:shd w:val="clear" w:color="auto" w:fill="auto"/>
    </w:pPr>
    <w:rPr>
      <w:sz w:val="20"/>
      <w:szCs w:val="20"/>
      <w:u w:val="none"/>
      <w:shd w:val="clear" w:color="auto" w:fill="auto"/>
      <w:lang w:val="zh-TW" w:eastAsia="zh-TW" w:bidi="zh-TW"/>
    </w:rPr>
  </w:style>
  <w:style w:type="character" w:customStyle="1" w:styleId="24">
    <w:name w:val="Header or footer|1_"/>
    <w:basedOn w:val="8"/>
    <w:link w:val="25"/>
    <w:qFormat/>
    <w:uiPriority w:val="0"/>
    <w:rPr>
      <w:sz w:val="19"/>
      <w:szCs w:val="19"/>
      <w:u w:val="none"/>
      <w:shd w:val="clear" w:color="auto" w:fill="auto"/>
      <w:lang w:val="zh-TW" w:eastAsia="zh-TW" w:bidi="zh-TW"/>
    </w:rPr>
  </w:style>
  <w:style w:type="paragraph" w:customStyle="1" w:styleId="25">
    <w:name w:val="Header or footer|1"/>
    <w:basedOn w:val="1"/>
    <w:link w:val="24"/>
    <w:qFormat/>
    <w:uiPriority w:val="0"/>
    <w:pPr>
      <w:widowControl w:val="0"/>
      <w:shd w:val="clear" w:color="auto" w:fill="auto"/>
    </w:pPr>
    <w:rPr>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2160</Words>
  <Characters>2245</Characters>
  <Lines>1</Lines>
  <Paragraphs>1</Paragraphs>
  <TotalTime>2</TotalTime>
  <ScaleCrop>false</ScaleCrop>
  <LinksUpToDate>false</LinksUpToDate>
  <CharactersWithSpaces>2277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2020-08-31T03:13:00Z</dcterms:created>
  <dc:creator>1</dc:creator>
  <cp:lastModifiedBy>6排</cp:lastModifiedBy>
  <cp:lastPrinted>2025-03-04T03:45:00Z</cp:lastPrinted>
  <dcterms:modified xsi:type="dcterms:W3CDTF">2025-03-05T06:20:21Z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49540FF49F5244D8B38D43D2DF7B86E6</vt:lpwstr>
  </property>
  <property fmtid="{D5CDD505-2E9C-101B-9397-08002B2CF9AE}" pid="4" name="KSOTemplateDocerSaveRecord">
    <vt:lpwstr>eyJoZGlkIjoiMDYwMWY2MTNlZGIxNjNlMDU4ZmFiMGIzZDZlOGU0ZmEiLCJ1c2VySWQiOiIxMjM4NTA2NDY2In0=</vt:lpwstr>
  </property>
</Properties>
</file>