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27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584"/>
        <w:gridCol w:w="809"/>
        <w:gridCol w:w="764"/>
        <w:gridCol w:w="1079"/>
        <w:gridCol w:w="809"/>
        <w:gridCol w:w="1079"/>
        <w:gridCol w:w="1079"/>
        <w:gridCol w:w="690"/>
        <w:gridCol w:w="1125"/>
        <w:gridCol w:w="1035"/>
        <w:gridCol w:w="1755"/>
        <w:gridCol w:w="570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2727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附件1 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2023年石阡县卫健系统引进高层次及急需紧缺人才岗位需求表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单位序号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所属领域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引进数量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其他条件要求及说明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石阡县卫生健康局</w:t>
            </w:r>
          </w:p>
        </w:tc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石阡县人民医院</w:t>
            </w:r>
          </w:p>
        </w:tc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本科学历要求临床医学、研究生以上学历要求临床医学、中西医结合临床及相关专业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影像医生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医学影像学、影像医学与核医学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石阡县中医医院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医学影像学、影像医学与核医学、口腔医学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石阡县妇幼保健院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临床医学、医学影像学、麻醉学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石阡县疾病预防控制中心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临床医学、预防医学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13CCE"/>
    <w:rsid w:val="51B1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3">
    <w:name w:val="正文 New New New New New New New New"/>
    <w:next w:val="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2023-03-02T02:12:00Z</dcterms:created>
  <dc:creator>紫臆</dc:creator>
  <cp:lastModifiedBy>紫臆</cp:lastModifiedBy>
  <dcterms:modified xsi:type="dcterms:W3CDTF">2023-03-02T02:13:21Z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